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F2A" w:rsidRPr="00A3568D" w:rsidRDefault="00A3568D" w:rsidP="00E12F5C">
      <w:pPr>
        <w:jc w:val="center"/>
        <w:rPr>
          <w:rFonts w:ascii="標楷體" w:eastAsia="標楷體" w:hAnsi="標楷體"/>
          <w:b/>
          <w:sz w:val="32"/>
          <w:szCs w:val="32"/>
        </w:rPr>
      </w:pPr>
      <w:bookmarkStart w:id="0" w:name="_GoBack"/>
      <w:bookmarkEnd w:id="0"/>
      <w:r w:rsidRPr="00A3568D">
        <w:rPr>
          <w:rFonts w:ascii="標楷體" w:eastAsia="標楷體" w:hAnsi="標楷體" w:hint="eastAsia"/>
          <w:b/>
          <w:sz w:val="32"/>
          <w:szCs w:val="32"/>
        </w:rPr>
        <w:t>我國主要貿易夥伴國家之</w:t>
      </w:r>
      <w:r w:rsidR="006E3279" w:rsidRPr="00A3568D">
        <w:rPr>
          <w:rFonts w:ascii="標楷體" w:eastAsia="標楷體" w:hAnsi="標楷體" w:hint="eastAsia"/>
          <w:b/>
          <w:sz w:val="32"/>
          <w:szCs w:val="32"/>
        </w:rPr>
        <w:t>關稅、檢驗制度或其他邊境管制資料</w:t>
      </w:r>
      <w:r w:rsidRPr="00A3568D">
        <w:rPr>
          <w:rFonts w:ascii="標楷體" w:eastAsia="標楷體" w:hAnsi="標楷體" w:hint="eastAsia"/>
          <w:b/>
          <w:sz w:val="32"/>
          <w:szCs w:val="32"/>
        </w:rPr>
        <w:t>表</w:t>
      </w:r>
    </w:p>
    <w:tbl>
      <w:tblPr>
        <w:tblStyle w:val="a3"/>
        <w:tblW w:w="9782" w:type="dxa"/>
        <w:tblInd w:w="-318" w:type="dxa"/>
        <w:tblLayout w:type="fixed"/>
        <w:tblLook w:val="04A0" w:firstRow="1" w:lastRow="0" w:firstColumn="1" w:lastColumn="0" w:noHBand="0" w:noVBand="1"/>
      </w:tblPr>
      <w:tblGrid>
        <w:gridCol w:w="1384"/>
        <w:gridCol w:w="7513"/>
        <w:gridCol w:w="885"/>
      </w:tblGrid>
      <w:tr w:rsidR="006E3279" w:rsidRPr="00B851CE" w:rsidTr="006F0EC6">
        <w:tc>
          <w:tcPr>
            <w:tcW w:w="1384" w:type="dxa"/>
          </w:tcPr>
          <w:p w:rsidR="006E3279" w:rsidRPr="00B851CE" w:rsidRDefault="008402C9" w:rsidP="00E12F5C">
            <w:pPr>
              <w:snapToGrid w:val="0"/>
              <w:spacing w:line="460" w:lineRule="exact"/>
              <w:rPr>
                <w:rFonts w:ascii="標楷體" w:eastAsia="標楷體" w:hAnsi="標楷體"/>
                <w:b/>
                <w:sz w:val="32"/>
                <w:szCs w:val="32"/>
              </w:rPr>
            </w:pPr>
            <w:r w:rsidRPr="00B851CE">
              <w:rPr>
                <w:rFonts w:ascii="標楷體" w:eastAsia="標楷體" w:hAnsi="標楷體" w:hint="eastAsia"/>
                <w:b/>
                <w:sz w:val="32"/>
                <w:szCs w:val="32"/>
              </w:rPr>
              <w:t>主題</w:t>
            </w:r>
          </w:p>
        </w:tc>
        <w:tc>
          <w:tcPr>
            <w:tcW w:w="7513" w:type="dxa"/>
          </w:tcPr>
          <w:p w:rsidR="006E3279" w:rsidRPr="00B851CE" w:rsidRDefault="006E3279" w:rsidP="00E12F5C">
            <w:pPr>
              <w:snapToGrid w:val="0"/>
              <w:spacing w:line="460" w:lineRule="exact"/>
              <w:rPr>
                <w:rFonts w:ascii="標楷體" w:eastAsia="標楷體" w:hAnsi="標楷體"/>
                <w:b/>
                <w:sz w:val="32"/>
                <w:szCs w:val="32"/>
              </w:rPr>
            </w:pPr>
            <w:r w:rsidRPr="00B851CE">
              <w:rPr>
                <w:rFonts w:ascii="標楷體" w:eastAsia="標楷體" w:hAnsi="標楷體" w:hint="eastAsia"/>
                <w:b/>
                <w:sz w:val="32"/>
                <w:szCs w:val="32"/>
              </w:rPr>
              <w:t>內容</w:t>
            </w:r>
            <w:r w:rsidR="00886A39" w:rsidRPr="00B851CE">
              <w:rPr>
                <w:rFonts w:ascii="標楷體" w:eastAsia="標楷體" w:hAnsi="標楷體" w:hint="eastAsia"/>
                <w:b/>
                <w:sz w:val="32"/>
                <w:szCs w:val="32"/>
              </w:rPr>
              <w:t>及網址</w:t>
            </w:r>
          </w:p>
        </w:tc>
        <w:tc>
          <w:tcPr>
            <w:tcW w:w="885" w:type="dxa"/>
          </w:tcPr>
          <w:p w:rsidR="006E3279" w:rsidRPr="00B851CE" w:rsidRDefault="006F0EC6" w:rsidP="00E12F5C">
            <w:pPr>
              <w:snapToGrid w:val="0"/>
              <w:spacing w:line="460" w:lineRule="exact"/>
              <w:rPr>
                <w:rFonts w:ascii="標楷體" w:eastAsia="標楷體" w:hAnsi="標楷體"/>
                <w:b/>
                <w:sz w:val="32"/>
                <w:szCs w:val="32"/>
              </w:rPr>
            </w:pPr>
            <w:r w:rsidRPr="00B851CE">
              <w:rPr>
                <w:rFonts w:ascii="標楷體" w:eastAsia="標楷體" w:hAnsi="標楷體" w:hint="eastAsia"/>
                <w:b/>
                <w:sz w:val="32"/>
                <w:szCs w:val="32"/>
              </w:rPr>
              <w:t>備註</w:t>
            </w:r>
          </w:p>
        </w:tc>
      </w:tr>
      <w:tr w:rsidR="006E3279" w:rsidRPr="00B851CE" w:rsidTr="006F0EC6">
        <w:tc>
          <w:tcPr>
            <w:tcW w:w="1384" w:type="dxa"/>
          </w:tcPr>
          <w:p w:rsidR="006E3279" w:rsidRPr="00B851CE" w:rsidRDefault="008402C9"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主要貿易國關稅、各國市場環境</w:t>
            </w:r>
          </w:p>
        </w:tc>
        <w:tc>
          <w:tcPr>
            <w:tcW w:w="7513" w:type="dxa"/>
          </w:tcPr>
          <w:p w:rsidR="006E3279"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經濟部國際貿易局建置</w:t>
            </w:r>
            <w:r w:rsidR="006E3279" w:rsidRPr="00B851CE">
              <w:rPr>
                <w:rFonts w:ascii="標楷體" w:eastAsia="標楷體" w:hAnsi="標楷體" w:hint="eastAsia"/>
                <w:sz w:val="32"/>
                <w:szCs w:val="32"/>
              </w:rPr>
              <w:t>「台灣經貿網」(http://info.taiwantrade.com/C</w:t>
            </w:r>
            <w:r w:rsidR="006E3279" w:rsidRPr="00B851CE">
              <w:rPr>
                <w:rFonts w:ascii="標楷體" w:eastAsia="標楷體" w:hAnsi="標楷體"/>
                <w:sz w:val="32"/>
                <w:szCs w:val="32"/>
              </w:rPr>
              <w:t>H/resources/MAIN/TC/S2/bulletin/trade_databank.jsp</w:t>
            </w:r>
            <w:r w:rsidR="006E3279" w:rsidRPr="00B851CE">
              <w:rPr>
                <w:rFonts w:ascii="標楷體" w:eastAsia="標楷體" w:hAnsi="標楷體" w:hint="eastAsia"/>
                <w:sz w:val="32"/>
                <w:szCs w:val="32"/>
              </w:rPr>
              <w:t>)可查閱主要貿易國關稅、各國市場環境等。</w:t>
            </w:r>
          </w:p>
        </w:tc>
        <w:tc>
          <w:tcPr>
            <w:tcW w:w="885" w:type="dxa"/>
          </w:tcPr>
          <w:p w:rsidR="006E3279" w:rsidRPr="00B851CE" w:rsidRDefault="00B851CE"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經濟部國際貿易局提供</w:t>
            </w:r>
          </w:p>
        </w:tc>
      </w:tr>
      <w:tr w:rsidR="008402C9" w:rsidRPr="00B851CE" w:rsidTr="006F0EC6">
        <w:tc>
          <w:tcPr>
            <w:tcW w:w="1384" w:type="dxa"/>
          </w:tcPr>
          <w:p w:rsidR="008402C9" w:rsidRPr="00B851CE" w:rsidRDefault="00615E35" w:rsidP="00E12F5C">
            <w:pPr>
              <w:snapToGrid w:val="0"/>
              <w:spacing w:line="460" w:lineRule="exact"/>
              <w:rPr>
                <w:rFonts w:ascii="標楷體" w:eastAsia="標楷體" w:hAnsi="標楷體"/>
                <w:sz w:val="32"/>
                <w:szCs w:val="32"/>
              </w:rPr>
            </w:pPr>
            <w:r>
              <w:rPr>
                <w:rFonts w:ascii="標楷體" w:eastAsia="標楷體" w:hAnsi="標楷體" w:hint="eastAsia"/>
                <w:sz w:val="32"/>
                <w:szCs w:val="32"/>
              </w:rPr>
              <w:t>稅務</w:t>
            </w:r>
          </w:p>
        </w:tc>
        <w:tc>
          <w:tcPr>
            <w:tcW w:w="7513" w:type="dxa"/>
          </w:tcPr>
          <w:p w:rsidR="008402C9" w:rsidRPr="00D42F5D" w:rsidRDefault="008402C9" w:rsidP="00D42F5D">
            <w:pPr>
              <w:pStyle w:val="ae"/>
              <w:numPr>
                <w:ilvl w:val="0"/>
                <w:numId w:val="14"/>
              </w:numPr>
              <w:snapToGrid w:val="0"/>
              <w:spacing w:line="460" w:lineRule="exact"/>
              <w:ind w:leftChars="0" w:left="635" w:hanging="708"/>
              <w:rPr>
                <w:rFonts w:ascii="標楷體" w:eastAsia="標楷體" w:hAnsi="標楷體"/>
                <w:sz w:val="32"/>
                <w:szCs w:val="32"/>
              </w:rPr>
            </w:pPr>
            <w:r w:rsidRPr="00D42F5D">
              <w:rPr>
                <w:rFonts w:ascii="標楷體" w:eastAsia="標楷體" w:hAnsi="標楷體"/>
                <w:sz w:val="32"/>
                <w:szCs w:val="32"/>
              </w:rPr>
              <w:t>新加坡：</w:t>
            </w:r>
          </w:p>
          <w:p w:rsidR="008402C9" w:rsidRPr="00B851CE" w:rsidRDefault="008402C9"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新加坡國內稅務局(Inland Revenue Authority of Singapore, IRAS)全面監控稅收制度的實施情況。</w:t>
            </w:r>
          </w:p>
          <w:p w:rsidR="008402C9" w:rsidRPr="00B851CE" w:rsidRDefault="008402C9" w:rsidP="00D42F5D">
            <w:pPr>
              <w:numPr>
                <w:ilvl w:val="0"/>
                <w:numId w:val="1"/>
              </w:numPr>
              <w:snapToGrid w:val="0"/>
              <w:spacing w:line="460" w:lineRule="exact"/>
              <w:ind w:left="494" w:hanging="494"/>
              <w:rPr>
                <w:rFonts w:ascii="標楷體" w:eastAsia="標楷體" w:hAnsi="標楷體"/>
                <w:sz w:val="32"/>
                <w:szCs w:val="32"/>
              </w:rPr>
            </w:pPr>
            <w:r w:rsidRPr="00B851CE">
              <w:rPr>
                <w:rFonts w:ascii="標楷體" w:eastAsia="標楷體" w:hAnsi="標楷體"/>
                <w:sz w:val="32"/>
                <w:szCs w:val="32"/>
              </w:rPr>
              <w:t>營利事業所得稅</w:t>
            </w:r>
            <w:r w:rsidR="00B851CE">
              <w:rPr>
                <w:rFonts w:ascii="標楷體" w:eastAsia="標楷體" w:hAnsi="標楷體" w:hint="eastAsia"/>
                <w:sz w:val="32"/>
                <w:szCs w:val="32"/>
              </w:rPr>
              <w:t>:</w:t>
            </w:r>
            <w:r w:rsidR="00B851CE" w:rsidRPr="00B851CE">
              <w:rPr>
                <w:rFonts w:ascii="標楷體" w:eastAsia="標楷體" w:hAnsi="標楷體" w:hint="eastAsia"/>
                <w:sz w:val="32"/>
                <w:szCs w:val="32"/>
              </w:rPr>
              <w:t>新加坡稱作公司所得稅或利得稅(Corporate Income Tax)。</w:t>
            </w:r>
          </w:p>
          <w:p w:rsidR="008402C9" w:rsidRPr="00B851CE" w:rsidRDefault="008402C9" w:rsidP="00D42F5D">
            <w:pPr>
              <w:snapToGrid w:val="0"/>
              <w:spacing w:line="460" w:lineRule="exact"/>
              <w:ind w:leftChars="205" w:left="492"/>
              <w:rPr>
                <w:rFonts w:ascii="標楷體" w:eastAsia="標楷體" w:hAnsi="標楷體"/>
                <w:sz w:val="32"/>
                <w:szCs w:val="32"/>
              </w:rPr>
            </w:pPr>
            <w:r w:rsidRPr="00B851CE">
              <w:rPr>
                <w:rFonts w:ascii="標楷體" w:eastAsia="標楷體" w:hAnsi="標楷體"/>
                <w:sz w:val="32"/>
                <w:szCs w:val="32"/>
              </w:rPr>
              <w:t>個人所得稅</w:t>
            </w:r>
            <w:r w:rsidR="00B851CE">
              <w:rPr>
                <w:rFonts w:ascii="標楷體" w:eastAsia="標楷體" w:hAnsi="標楷體" w:hint="eastAsia"/>
                <w:sz w:val="32"/>
                <w:szCs w:val="32"/>
              </w:rPr>
              <w:t>:</w:t>
            </w:r>
            <w:r w:rsidR="00B851CE" w:rsidRPr="00B851CE">
              <w:rPr>
                <w:rFonts w:ascii="標楷體" w:eastAsia="標楷體" w:hAnsi="標楷體" w:hint="eastAsia"/>
                <w:sz w:val="32"/>
                <w:szCs w:val="32"/>
              </w:rPr>
              <w:t>若符合下列條件，則被視為居民個人：新定居在新加坡的新加坡永久居民(SPR)；或者一年內在新加坡居留183天以上(含183天)；或者本人在新加坡已連續工作三年，即使第一年和第三年在新加坡居留少於183天。其餘於</w:t>
            </w:r>
            <w:proofErr w:type="gramStart"/>
            <w:r w:rsidR="00B851CE" w:rsidRPr="00B851CE">
              <w:rPr>
                <w:rFonts w:ascii="標楷體" w:eastAsia="標楷體" w:hAnsi="標楷體" w:hint="eastAsia"/>
                <w:sz w:val="32"/>
                <w:szCs w:val="32"/>
              </w:rPr>
              <w:t>該評稅年度內均被視為</w:t>
            </w:r>
            <w:proofErr w:type="gramEnd"/>
            <w:r w:rsidR="00B851CE" w:rsidRPr="00B851CE">
              <w:rPr>
                <w:rFonts w:ascii="標楷體" w:eastAsia="標楷體" w:hAnsi="標楷體" w:hint="eastAsia"/>
                <w:sz w:val="32"/>
                <w:szCs w:val="32"/>
              </w:rPr>
              <w:t>非納稅居民。</w:t>
            </w:r>
          </w:p>
          <w:p w:rsidR="008402C9" w:rsidRPr="00B851CE" w:rsidRDefault="008402C9" w:rsidP="00D42F5D">
            <w:pPr>
              <w:numPr>
                <w:ilvl w:val="0"/>
                <w:numId w:val="1"/>
              </w:numPr>
              <w:snapToGrid w:val="0"/>
              <w:spacing w:line="460" w:lineRule="exact"/>
              <w:ind w:left="494" w:hanging="494"/>
              <w:rPr>
                <w:rFonts w:ascii="標楷體" w:eastAsia="標楷體" w:hAnsi="標楷體"/>
                <w:sz w:val="32"/>
                <w:szCs w:val="32"/>
              </w:rPr>
            </w:pPr>
            <w:r w:rsidRPr="00B851CE">
              <w:rPr>
                <w:rFonts w:ascii="標楷體" w:eastAsia="標楷體" w:hAnsi="標楷體"/>
                <w:sz w:val="32"/>
                <w:szCs w:val="32"/>
              </w:rPr>
              <w:t>增值稅(Value Added Tax, VAT)，在新加坡稱為商品與服務稅(Goods and Services Tax, GST)，商品與服務稅法(Goods and Services Tax Act)</w:t>
            </w:r>
            <w:r w:rsidR="00B851CE">
              <w:t xml:space="preserve"> </w:t>
            </w:r>
            <w:r w:rsidR="00B851CE" w:rsidRPr="00B851CE">
              <w:rPr>
                <w:rFonts w:ascii="標楷體" w:eastAsia="標楷體" w:hAnsi="標楷體"/>
                <w:sz w:val="32"/>
                <w:szCs w:val="32"/>
              </w:rPr>
              <w:t>http://statutes.agc.gov.sg/aol/search/display/view.w3p;page=0;query=DocId%3A7f610073-8fb3-4560-b725-cc01ea725387%20Depth%3A0%20Status%3Ainforce;rec</w:t>
            </w:r>
            <w:r w:rsidR="00B851CE">
              <w:rPr>
                <w:rFonts w:ascii="標楷體" w:eastAsia="標楷體" w:hAnsi="標楷體"/>
                <w:sz w:val="32"/>
                <w:szCs w:val="32"/>
              </w:rPr>
              <w:t xml:space="preserve">=0 </w:t>
            </w:r>
          </w:p>
          <w:p w:rsidR="008402C9" w:rsidRPr="00B851CE" w:rsidRDefault="008402C9" w:rsidP="00D42F5D">
            <w:pPr>
              <w:numPr>
                <w:ilvl w:val="0"/>
                <w:numId w:val="1"/>
              </w:numPr>
              <w:snapToGrid w:val="0"/>
              <w:spacing w:line="460" w:lineRule="exact"/>
              <w:ind w:left="494" w:hanging="494"/>
              <w:rPr>
                <w:rFonts w:ascii="標楷體" w:eastAsia="標楷體" w:hAnsi="標楷體"/>
                <w:sz w:val="32"/>
                <w:szCs w:val="32"/>
              </w:rPr>
            </w:pPr>
            <w:r w:rsidRPr="00B851CE">
              <w:rPr>
                <w:rFonts w:ascii="標楷體" w:eastAsia="標楷體" w:hAnsi="標楷體"/>
                <w:sz w:val="32"/>
                <w:szCs w:val="32"/>
              </w:rPr>
              <w:t>創新企業獎勵：自生產之日起，其從事創新活動取得的所得可享受免徵5至10年所得稅的優惠待遇。創新企業由新加坡政府部門界定。</w:t>
            </w:r>
          </w:p>
          <w:p w:rsidR="008402C9" w:rsidRPr="00B851CE" w:rsidRDefault="008402C9" w:rsidP="00D42F5D">
            <w:pPr>
              <w:pStyle w:val="ae"/>
              <w:numPr>
                <w:ilvl w:val="0"/>
                <w:numId w:val="14"/>
              </w:numPr>
              <w:snapToGrid w:val="0"/>
              <w:spacing w:line="460" w:lineRule="exact"/>
              <w:ind w:leftChars="0" w:left="635" w:hanging="708"/>
              <w:rPr>
                <w:rFonts w:ascii="標楷體" w:eastAsia="標楷體" w:hAnsi="標楷體"/>
                <w:sz w:val="32"/>
                <w:szCs w:val="32"/>
              </w:rPr>
            </w:pPr>
            <w:r w:rsidRPr="00B851CE">
              <w:rPr>
                <w:rFonts w:ascii="標楷體" w:eastAsia="標楷體" w:hAnsi="標楷體"/>
                <w:sz w:val="32"/>
                <w:szCs w:val="32"/>
              </w:rPr>
              <w:t>菲律賓</w:t>
            </w:r>
          </w:p>
          <w:p w:rsidR="008402C9" w:rsidRPr="00B851CE" w:rsidRDefault="008402C9" w:rsidP="00D42F5D">
            <w:pPr>
              <w:numPr>
                <w:ilvl w:val="0"/>
                <w:numId w:val="15"/>
              </w:numPr>
              <w:snapToGrid w:val="0"/>
              <w:spacing w:line="460" w:lineRule="exact"/>
              <w:ind w:left="494"/>
              <w:rPr>
                <w:rFonts w:ascii="標楷體" w:eastAsia="標楷體" w:hAnsi="標楷體"/>
                <w:sz w:val="32"/>
                <w:szCs w:val="32"/>
              </w:rPr>
            </w:pPr>
            <w:r w:rsidRPr="00B851CE">
              <w:rPr>
                <w:rFonts w:ascii="標楷體" w:eastAsia="標楷體" w:hAnsi="標楷體"/>
                <w:sz w:val="32"/>
                <w:szCs w:val="32"/>
              </w:rPr>
              <w:lastRenderedPageBreak/>
              <w:t>所得稅</w:t>
            </w:r>
          </w:p>
          <w:p w:rsidR="008402C9" w:rsidRPr="00B851CE" w:rsidRDefault="008402C9" w:rsidP="00D42F5D">
            <w:pPr>
              <w:numPr>
                <w:ilvl w:val="0"/>
                <w:numId w:val="4"/>
              </w:numPr>
              <w:snapToGrid w:val="0"/>
              <w:spacing w:line="460" w:lineRule="exact"/>
              <w:ind w:left="494"/>
              <w:rPr>
                <w:rFonts w:ascii="標楷體" w:eastAsia="標楷體" w:hAnsi="標楷體"/>
                <w:sz w:val="32"/>
                <w:szCs w:val="32"/>
              </w:rPr>
            </w:pPr>
            <w:r w:rsidRPr="00B851CE">
              <w:rPr>
                <w:rFonts w:ascii="標楷體" w:eastAsia="標楷體" w:hAnsi="標楷體"/>
                <w:sz w:val="32"/>
                <w:szCs w:val="32"/>
              </w:rPr>
              <w:t>公司部分：自2009年1月1日起調降至30%。</w:t>
            </w:r>
          </w:p>
          <w:p w:rsidR="008402C9" w:rsidRPr="00B851CE" w:rsidRDefault="008402C9" w:rsidP="00D42F5D">
            <w:pPr>
              <w:numPr>
                <w:ilvl w:val="0"/>
                <w:numId w:val="4"/>
              </w:numPr>
              <w:snapToGrid w:val="0"/>
              <w:spacing w:line="460" w:lineRule="exact"/>
              <w:ind w:left="494"/>
              <w:rPr>
                <w:rFonts w:ascii="標楷體" w:eastAsia="標楷體" w:hAnsi="標楷體"/>
                <w:sz w:val="32"/>
                <w:szCs w:val="32"/>
              </w:rPr>
            </w:pPr>
            <w:r w:rsidRPr="00B851CE">
              <w:rPr>
                <w:rFonts w:ascii="標楷體" w:eastAsia="標楷體" w:hAnsi="標楷體"/>
                <w:sz w:val="32"/>
                <w:szCs w:val="32"/>
              </w:rPr>
              <w:t>個人部分：個人所得稅稅率從5%至32%，詳細規定如下：</w:t>
            </w:r>
          </w:p>
          <w:p w:rsidR="008402C9" w:rsidRPr="00B851CE" w:rsidRDefault="008402C9" w:rsidP="00D42F5D">
            <w:pPr>
              <w:numPr>
                <w:ilvl w:val="0"/>
                <w:numId w:val="5"/>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t>10,000披索以下者：5%。</w:t>
            </w:r>
          </w:p>
          <w:p w:rsidR="008402C9" w:rsidRPr="00B851CE" w:rsidRDefault="008402C9" w:rsidP="00D42F5D">
            <w:pPr>
              <w:numPr>
                <w:ilvl w:val="0"/>
                <w:numId w:val="5"/>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t>10,000披索至30,000披索：500披索+超過10,000披索部分為10%。</w:t>
            </w:r>
          </w:p>
          <w:p w:rsidR="008402C9" w:rsidRPr="00B851CE" w:rsidRDefault="008402C9" w:rsidP="00D42F5D">
            <w:pPr>
              <w:numPr>
                <w:ilvl w:val="0"/>
                <w:numId w:val="5"/>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t>30,000披索至70,000披索：2,500披索+超過30,000披索部分為15%。</w:t>
            </w:r>
          </w:p>
          <w:p w:rsidR="008402C9" w:rsidRPr="00B851CE" w:rsidRDefault="008402C9" w:rsidP="00D42F5D">
            <w:pPr>
              <w:numPr>
                <w:ilvl w:val="0"/>
                <w:numId w:val="5"/>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t>7萬披索至14萬披索：8,500披索+超過7萬披索部分為20%。</w:t>
            </w:r>
          </w:p>
          <w:p w:rsidR="008402C9" w:rsidRPr="00B851CE" w:rsidRDefault="008402C9" w:rsidP="00D42F5D">
            <w:pPr>
              <w:numPr>
                <w:ilvl w:val="0"/>
                <w:numId w:val="5"/>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t>14萬披索至25萬披索：22,500披索+超過14萬披索部分為25%。</w:t>
            </w:r>
          </w:p>
          <w:p w:rsidR="008402C9" w:rsidRPr="00B851CE" w:rsidRDefault="008402C9" w:rsidP="00D42F5D">
            <w:pPr>
              <w:numPr>
                <w:ilvl w:val="0"/>
                <w:numId w:val="5"/>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t>25萬披索至50萬披索：50,000披索+超過25萬披索部分為30%。</w:t>
            </w:r>
          </w:p>
          <w:p w:rsidR="008402C9" w:rsidRPr="00B851CE" w:rsidRDefault="008402C9" w:rsidP="00D42F5D">
            <w:pPr>
              <w:numPr>
                <w:ilvl w:val="0"/>
                <w:numId w:val="5"/>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t>超過50萬披索：125,000披索+超過50萬披索部分為32%。</w:t>
            </w:r>
          </w:p>
          <w:p w:rsidR="008402C9" w:rsidRPr="00B851CE" w:rsidRDefault="008402C9" w:rsidP="00D42F5D">
            <w:pPr>
              <w:numPr>
                <w:ilvl w:val="0"/>
                <w:numId w:val="15"/>
              </w:numPr>
              <w:snapToGrid w:val="0"/>
              <w:spacing w:line="460" w:lineRule="exact"/>
              <w:ind w:left="494"/>
              <w:rPr>
                <w:rFonts w:ascii="標楷體" w:eastAsia="標楷體" w:hAnsi="標楷體"/>
                <w:sz w:val="32"/>
                <w:szCs w:val="32"/>
              </w:rPr>
            </w:pPr>
            <w:r w:rsidRPr="00B851CE">
              <w:rPr>
                <w:rFonts w:ascii="標楷體" w:eastAsia="標楷體" w:hAnsi="標楷體"/>
                <w:sz w:val="32"/>
                <w:szCs w:val="32"/>
              </w:rPr>
              <w:t>另有不動產稅(5%至35%)、資本利得稅、地方稅、贈與稅、遺產稅、旅行稅、股利</w:t>
            </w:r>
            <w:proofErr w:type="gramStart"/>
            <w:r w:rsidRPr="00B851CE">
              <w:rPr>
                <w:rFonts w:ascii="標楷體" w:eastAsia="標楷體" w:hAnsi="標楷體"/>
                <w:sz w:val="32"/>
                <w:szCs w:val="32"/>
              </w:rPr>
              <w:t>匯回稅</w:t>
            </w:r>
            <w:proofErr w:type="gramEnd"/>
            <w:r w:rsidRPr="00B851CE">
              <w:rPr>
                <w:rFonts w:ascii="標楷體" w:eastAsia="標楷體" w:hAnsi="標楷體"/>
                <w:sz w:val="32"/>
                <w:szCs w:val="32"/>
              </w:rPr>
              <w:t>(分公司15%，子公司35%)等各種稅捐。</w:t>
            </w:r>
          </w:p>
          <w:p w:rsidR="008402C9" w:rsidRPr="00B851CE" w:rsidRDefault="008402C9" w:rsidP="00D42F5D">
            <w:pPr>
              <w:numPr>
                <w:ilvl w:val="1"/>
                <w:numId w:val="17"/>
              </w:numPr>
              <w:snapToGrid w:val="0"/>
              <w:spacing w:line="460" w:lineRule="exact"/>
              <w:ind w:left="494"/>
              <w:rPr>
                <w:rFonts w:ascii="標楷體" w:eastAsia="標楷體" w:hAnsi="標楷體"/>
                <w:sz w:val="32"/>
                <w:szCs w:val="32"/>
              </w:rPr>
            </w:pPr>
            <w:r w:rsidRPr="00B851CE">
              <w:rPr>
                <w:rFonts w:ascii="標楷體" w:eastAsia="標楷體" w:hAnsi="標楷體"/>
                <w:sz w:val="32"/>
                <w:szCs w:val="32"/>
              </w:rPr>
              <w:t>增值稅：菲律賓於1988年1月1日實施增值稅制，在1994年5月5日通過擴大加值稅法（Expanded VAT Law），將原範圍擴及至未課增值稅之商品、財產及服務業等。2006年2月1日起由原來的10%提高為12%。</w:t>
            </w:r>
          </w:p>
          <w:p w:rsidR="008402C9" w:rsidRPr="00B851CE" w:rsidRDefault="008402C9" w:rsidP="00D42F5D">
            <w:pPr>
              <w:numPr>
                <w:ilvl w:val="1"/>
                <w:numId w:val="17"/>
              </w:numPr>
              <w:snapToGrid w:val="0"/>
              <w:spacing w:line="460" w:lineRule="exact"/>
              <w:ind w:left="494"/>
              <w:rPr>
                <w:rFonts w:ascii="標楷體" w:eastAsia="標楷體" w:hAnsi="標楷體"/>
                <w:sz w:val="32"/>
                <w:szCs w:val="32"/>
              </w:rPr>
            </w:pPr>
            <w:r w:rsidRPr="00B851CE">
              <w:rPr>
                <w:rFonts w:ascii="標楷體" w:eastAsia="標楷體" w:hAnsi="標楷體"/>
                <w:sz w:val="32"/>
                <w:szCs w:val="32"/>
              </w:rPr>
              <w:t>依據菲律賓投資優先計畫在菲律賓投資局登記之企業，或產品的50%外銷之非IPP企業可享受之獎勵如下：</w:t>
            </w:r>
          </w:p>
          <w:p w:rsidR="008402C9" w:rsidRPr="00B851CE" w:rsidRDefault="008402C9" w:rsidP="00D42F5D">
            <w:pPr>
              <w:numPr>
                <w:ilvl w:val="0"/>
                <w:numId w:val="16"/>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t>4至6年所得稅減免。</w:t>
            </w:r>
          </w:p>
          <w:p w:rsidR="008402C9" w:rsidRPr="00B851CE" w:rsidRDefault="008402C9" w:rsidP="00D42F5D">
            <w:pPr>
              <w:numPr>
                <w:ilvl w:val="0"/>
                <w:numId w:val="16"/>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t>基礎建設之投資可抵減稅額。</w:t>
            </w:r>
          </w:p>
          <w:p w:rsidR="008402C9" w:rsidRPr="00B851CE" w:rsidRDefault="008402C9" w:rsidP="00D42F5D">
            <w:pPr>
              <w:numPr>
                <w:ilvl w:val="0"/>
                <w:numId w:val="16"/>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lastRenderedPageBreak/>
              <w:t>勞務費用的額外減免。</w:t>
            </w:r>
          </w:p>
          <w:p w:rsidR="008402C9" w:rsidRPr="00B851CE" w:rsidRDefault="008402C9" w:rsidP="00D42F5D">
            <w:pPr>
              <w:numPr>
                <w:ilvl w:val="0"/>
                <w:numId w:val="16"/>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t>港工捐、進口稅和規費的減免。</w:t>
            </w:r>
          </w:p>
          <w:p w:rsidR="008402C9" w:rsidRPr="00B851CE" w:rsidRDefault="008402C9" w:rsidP="00D42F5D">
            <w:pPr>
              <w:numPr>
                <w:ilvl w:val="0"/>
                <w:numId w:val="16"/>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t>可僱用外籍管理、技術、顧問人員。</w:t>
            </w:r>
          </w:p>
          <w:p w:rsidR="008402C9" w:rsidRPr="00B851CE" w:rsidRDefault="008402C9" w:rsidP="00D42F5D">
            <w:pPr>
              <w:numPr>
                <w:ilvl w:val="0"/>
                <w:numId w:val="16"/>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t>保證</w:t>
            </w:r>
            <w:proofErr w:type="gramStart"/>
            <w:r w:rsidRPr="00B851CE">
              <w:rPr>
                <w:rFonts w:ascii="標楷體" w:eastAsia="標楷體" w:hAnsi="標楷體"/>
                <w:sz w:val="32"/>
                <w:szCs w:val="32"/>
              </w:rPr>
              <w:t>匯</w:t>
            </w:r>
            <w:proofErr w:type="gramEnd"/>
            <w:r w:rsidRPr="00B851CE">
              <w:rPr>
                <w:rFonts w:ascii="標楷體" w:eastAsia="標楷體" w:hAnsi="標楷體"/>
                <w:sz w:val="32"/>
                <w:szCs w:val="32"/>
              </w:rPr>
              <w:t>回投資資本及利潤。</w:t>
            </w:r>
          </w:p>
          <w:p w:rsidR="008402C9" w:rsidRPr="00B851CE" w:rsidRDefault="008402C9" w:rsidP="00D42F5D">
            <w:pPr>
              <w:numPr>
                <w:ilvl w:val="0"/>
                <w:numId w:val="16"/>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t>借用進口設備期限無限制。</w:t>
            </w:r>
          </w:p>
          <w:p w:rsidR="008402C9" w:rsidRPr="00B851CE" w:rsidRDefault="008402C9" w:rsidP="00D42F5D">
            <w:pPr>
              <w:numPr>
                <w:ilvl w:val="1"/>
                <w:numId w:val="17"/>
              </w:numPr>
              <w:snapToGrid w:val="0"/>
              <w:spacing w:line="460" w:lineRule="exact"/>
              <w:ind w:left="494"/>
              <w:rPr>
                <w:rFonts w:ascii="標楷體" w:eastAsia="標楷體" w:hAnsi="標楷體"/>
                <w:sz w:val="32"/>
                <w:szCs w:val="32"/>
              </w:rPr>
            </w:pPr>
            <w:r w:rsidRPr="00B851CE">
              <w:rPr>
                <w:rFonts w:ascii="標楷體" w:eastAsia="標楷體" w:hAnsi="標楷體"/>
                <w:sz w:val="32"/>
                <w:szCs w:val="32"/>
              </w:rPr>
              <w:t>在蘇比克灣投資之業者，原則上僅繳交營業毛利(</w:t>
            </w:r>
            <w:proofErr w:type="gramStart"/>
            <w:r w:rsidRPr="00B851CE">
              <w:rPr>
                <w:rFonts w:ascii="標楷體" w:eastAsia="標楷體" w:hAnsi="標楷體"/>
                <w:sz w:val="32"/>
                <w:szCs w:val="32"/>
              </w:rPr>
              <w:t>即總收入</w:t>
            </w:r>
            <w:proofErr w:type="gramEnd"/>
            <w:r w:rsidRPr="00B851CE">
              <w:rPr>
                <w:rFonts w:ascii="標楷體" w:eastAsia="標楷體" w:hAnsi="標楷體"/>
                <w:sz w:val="32"/>
                <w:szCs w:val="32"/>
              </w:rPr>
              <w:t>減掉直接成本)之5%，</w:t>
            </w:r>
            <w:proofErr w:type="gramStart"/>
            <w:r w:rsidRPr="00B851CE">
              <w:rPr>
                <w:rFonts w:ascii="標楷體" w:eastAsia="標楷體" w:hAnsi="標楷體"/>
                <w:sz w:val="32"/>
                <w:szCs w:val="32"/>
              </w:rPr>
              <w:t>其他稅免繳</w:t>
            </w:r>
            <w:proofErr w:type="gramEnd"/>
            <w:r w:rsidRPr="00B851CE">
              <w:rPr>
                <w:rFonts w:ascii="標楷體" w:eastAsia="標楷體" w:hAnsi="標楷體"/>
                <w:sz w:val="32"/>
                <w:szCs w:val="32"/>
              </w:rPr>
              <w:t>，惟有關個人所得稅部分不能減免。</w:t>
            </w:r>
          </w:p>
          <w:p w:rsidR="008402C9" w:rsidRPr="00B851CE" w:rsidRDefault="008402C9" w:rsidP="00D42F5D">
            <w:pPr>
              <w:numPr>
                <w:ilvl w:val="1"/>
                <w:numId w:val="17"/>
              </w:numPr>
              <w:snapToGrid w:val="0"/>
              <w:spacing w:line="460" w:lineRule="exact"/>
              <w:ind w:left="494"/>
              <w:rPr>
                <w:rFonts w:ascii="標楷體" w:eastAsia="標楷體" w:hAnsi="標楷體"/>
                <w:sz w:val="32"/>
                <w:szCs w:val="32"/>
              </w:rPr>
            </w:pPr>
            <w:r w:rsidRPr="00B851CE">
              <w:rPr>
                <w:rFonts w:ascii="標楷體" w:eastAsia="標楷體" w:hAnsi="標楷體"/>
                <w:sz w:val="32"/>
                <w:szCs w:val="32"/>
              </w:rPr>
              <w:t>在經濟特區可享受之獎勵優惠包括：</w:t>
            </w:r>
          </w:p>
          <w:p w:rsidR="008402C9" w:rsidRPr="00B851CE" w:rsidRDefault="008402C9" w:rsidP="00D42F5D">
            <w:pPr>
              <w:numPr>
                <w:ilvl w:val="0"/>
                <w:numId w:val="18"/>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t>4至6年所得稅減免。</w:t>
            </w:r>
          </w:p>
          <w:p w:rsidR="008402C9" w:rsidRPr="00B851CE" w:rsidRDefault="008402C9" w:rsidP="00D42F5D">
            <w:pPr>
              <w:numPr>
                <w:ilvl w:val="0"/>
                <w:numId w:val="18"/>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t>減免期滿可選擇繳交5%營業毛利取代所有國稅及</w:t>
            </w:r>
            <w:proofErr w:type="gramStart"/>
            <w:r w:rsidRPr="00B851CE">
              <w:rPr>
                <w:rFonts w:ascii="標楷體" w:eastAsia="標楷體" w:hAnsi="標楷體"/>
                <w:sz w:val="32"/>
                <w:szCs w:val="32"/>
              </w:rPr>
              <w:t>當地稅</w:t>
            </w:r>
            <w:proofErr w:type="gramEnd"/>
            <w:r w:rsidRPr="00B851CE">
              <w:rPr>
                <w:rFonts w:ascii="標楷體" w:eastAsia="標楷體" w:hAnsi="標楷體"/>
                <w:sz w:val="32"/>
                <w:szCs w:val="32"/>
              </w:rPr>
              <w:t>。</w:t>
            </w:r>
          </w:p>
          <w:p w:rsidR="008402C9" w:rsidRPr="00B851CE" w:rsidRDefault="008402C9" w:rsidP="00D42F5D">
            <w:pPr>
              <w:numPr>
                <w:ilvl w:val="0"/>
                <w:numId w:val="18"/>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t>進口資本設備、零組件及原材料免稅。</w:t>
            </w:r>
          </w:p>
          <w:p w:rsidR="008402C9" w:rsidRPr="00B851CE" w:rsidRDefault="008402C9" w:rsidP="00D42F5D">
            <w:pPr>
              <w:numPr>
                <w:ilvl w:val="0"/>
                <w:numId w:val="18"/>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t>內銷可達總銷售額之30%。</w:t>
            </w:r>
          </w:p>
          <w:p w:rsidR="008402C9" w:rsidRPr="00B851CE" w:rsidRDefault="008402C9" w:rsidP="00D42F5D">
            <w:pPr>
              <w:numPr>
                <w:ilvl w:val="0"/>
                <w:numId w:val="18"/>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t>所有當地採購支出(包括通訊、水電費等)</w:t>
            </w:r>
            <w:proofErr w:type="gramStart"/>
            <w:r w:rsidRPr="00B851CE">
              <w:rPr>
                <w:rFonts w:ascii="標楷體" w:eastAsia="標楷體" w:hAnsi="標楷體"/>
                <w:sz w:val="32"/>
                <w:szCs w:val="32"/>
              </w:rPr>
              <w:t>均免付</w:t>
            </w:r>
            <w:proofErr w:type="gramEnd"/>
            <w:r w:rsidRPr="00B851CE">
              <w:rPr>
                <w:rFonts w:ascii="標楷體" w:eastAsia="標楷體" w:hAnsi="標楷體"/>
                <w:sz w:val="32"/>
                <w:szCs w:val="32"/>
              </w:rPr>
              <w:t>加值稅。</w:t>
            </w:r>
          </w:p>
          <w:p w:rsidR="008402C9" w:rsidRPr="00B851CE" w:rsidRDefault="008402C9" w:rsidP="00D42F5D">
            <w:pPr>
              <w:numPr>
                <w:ilvl w:val="0"/>
                <w:numId w:val="18"/>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t>免除當地政府稅負及規費。</w:t>
            </w:r>
          </w:p>
          <w:p w:rsidR="008402C9" w:rsidRPr="00B851CE" w:rsidRDefault="008402C9" w:rsidP="00D42F5D">
            <w:pPr>
              <w:numPr>
                <w:ilvl w:val="0"/>
                <w:numId w:val="18"/>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t>雇用外籍員工。</w:t>
            </w:r>
          </w:p>
          <w:p w:rsidR="008402C9" w:rsidRPr="00B851CE" w:rsidRDefault="008402C9" w:rsidP="00D42F5D">
            <w:pPr>
              <w:numPr>
                <w:ilvl w:val="0"/>
                <w:numId w:val="18"/>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t>給予外國投資人及家人特別簽證。</w:t>
            </w:r>
          </w:p>
          <w:p w:rsidR="008402C9" w:rsidRPr="00B851CE" w:rsidRDefault="008402C9" w:rsidP="00D42F5D">
            <w:pPr>
              <w:numPr>
                <w:ilvl w:val="0"/>
                <w:numId w:val="18"/>
              </w:numPr>
              <w:snapToGrid w:val="0"/>
              <w:spacing w:line="460" w:lineRule="exact"/>
              <w:ind w:left="919"/>
              <w:rPr>
                <w:rFonts w:ascii="標楷體" w:eastAsia="標楷體" w:hAnsi="標楷體"/>
                <w:sz w:val="32"/>
                <w:szCs w:val="32"/>
              </w:rPr>
            </w:pPr>
            <w:r w:rsidRPr="00B851CE">
              <w:rPr>
                <w:rFonts w:ascii="標楷體" w:eastAsia="標楷體" w:hAnsi="標楷體"/>
                <w:sz w:val="32"/>
                <w:szCs w:val="32"/>
              </w:rPr>
              <w:t>簡化進出口手續。</w:t>
            </w:r>
          </w:p>
          <w:p w:rsidR="008402C9" w:rsidRPr="00B851CE" w:rsidRDefault="008402C9" w:rsidP="00D42F5D">
            <w:pPr>
              <w:pStyle w:val="ae"/>
              <w:numPr>
                <w:ilvl w:val="0"/>
                <w:numId w:val="14"/>
              </w:numPr>
              <w:snapToGrid w:val="0"/>
              <w:spacing w:line="460" w:lineRule="exact"/>
              <w:ind w:leftChars="0" w:left="635" w:hanging="708"/>
              <w:rPr>
                <w:rFonts w:ascii="標楷體" w:eastAsia="標楷體" w:hAnsi="標楷體"/>
                <w:sz w:val="32"/>
                <w:szCs w:val="32"/>
              </w:rPr>
            </w:pPr>
            <w:r w:rsidRPr="00B851CE">
              <w:rPr>
                <w:rFonts w:ascii="標楷體" w:eastAsia="標楷體" w:hAnsi="標楷體"/>
                <w:sz w:val="32"/>
                <w:szCs w:val="32"/>
              </w:rPr>
              <w:t>馬來西亞</w:t>
            </w:r>
          </w:p>
          <w:p w:rsidR="008402C9" w:rsidRPr="00B851CE" w:rsidRDefault="008402C9" w:rsidP="00D42F5D">
            <w:pPr>
              <w:numPr>
                <w:ilvl w:val="0"/>
                <w:numId w:val="6"/>
              </w:numPr>
              <w:snapToGrid w:val="0"/>
              <w:spacing w:line="460" w:lineRule="exact"/>
              <w:ind w:left="494"/>
              <w:rPr>
                <w:rFonts w:ascii="標楷體" w:eastAsia="標楷體" w:hAnsi="標楷體"/>
                <w:sz w:val="32"/>
                <w:szCs w:val="32"/>
              </w:rPr>
            </w:pPr>
            <w:r w:rsidRPr="00B851CE">
              <w:rPr>
                <w:rFonts w:ascii="標楷體" w:eastAsia="標楷體" w:hAnsi="標楷體" w:hint="eastAsia"/>
                <w:sz w:val="32"/>
                <w:szCs w:val="32"/>
              </w:rPr>
              <w:t>營利事業所得稅：無論是否為居住者擁有之公司，自馬來西亞取得之</w:t>
            </w:r>
            <w:proofErr w:type="gramStart"/>
            <w:r w:rsidRPr="00B851CE">
              <w:rPr>
                <w:rFonts w:ascii="標楷體" w:eastAsia="標楷體" w:hAnsi="標楷體" w:hint="eastAsia"/>
                <w:sz w:val="32"/>
                <w:szCs w:val="32"/>
              </w:rPr>
              <w:t>收益均應課稅</w:t>
            </w:r>
            <w:proofErr w:type="gramEnd"/>
            <w:r w:rsidRPr="00B851CE">
              <w:rPr>
                <w:rFonts w:ascii="標楷體" w:eastAsia="標楷體" w:hAnsi="標楷體" w:hint="eastAsia"/>
                <w:sz w:val="32"/>
                <w:szCs w:val="32"/>
              </w:rPr>
              <w:t>。居住者公司從國外獲得及匯入的收益，豁免課稅，但從事銀行、保險、船運及空運業者除外。如公司事務之控制及管理在馬來西亞行使，該公司即被視為居住者公司。居住者及非居住者公司同時適用25%之稅率，至從事石油上游事業之公司，則適用38%之稅率。</w:t>
            </w:r>
          </w:p>
          <w:p w:rsidR="008402C9" w:rsidRPr="00B851CE" w:rsidRDefault="008402C9" w:rsidP="00D42F5D">
            <w:pPr>
              <w:numPr>
                <w:ilvl w:val="0"/>
                <w:numId w:val="6"/>
              </w:numPr>
              <w:snapToGrid w:val="0"/>
              <w:spacing w:line="460" w:lineRule="exact"/>
              <w:ind w:left="494"/>
              <w:rPr>
                <w:rFonts w:ascii="標楷體" w:eastAsia="標楷體" w:hAnsi="標楷體"/>
                <w:sz w:val="32"/>
                <w:szCs w:val="32"/>
              </w:rPr>
            </w:pPr>
            <w:r w:rsidRPr="00B851CE">
              <w:rPr>
                <w:rFonts w:ascii="標楷體" w:eastAsia="標楷體" w:hAnsi="標楷體" w:hint="eastAsia"/>
                <w:sz w:val="32"/>
                <w:szCs w:val="32"/>
              </w:rPr>
              <w:t>個人所得稅：僅就個人自馬來西亞所獲得之收入</w:t>
            </w:r>
            <w:r w:rsidRPr="00B851CE">
              <w:rPr>
                <w:rFonts w:ascii="標楷體" w:eastAsia="標楷體" w:hAnsi="標楷體" w:hint="eastAsia"/>
                <w:sz w:val="32"/>
                <w:szCs w:val="32"/>
              </w:rPr>
              <w:lastRenderedPageBreak/>
              <w:t>課稅(自國外匯入的收入免稅)。通常一年內在馬來西亞居住182天以上的個人即被視為居住者。</w:t>
            </w:r>
          </w:p>
          <w:p w:rsidR="008402C9" w:rsidRPr="00B851CE" w:rsidRDefault="008402C9" w:rsidP="00D42F5D">
            <w:pPr>
              <w:numPr>
                <w:ilvl w:val="0"/>
                <w:numId w:val="9"/>
              </w:numPr>
              <w:snapToGrid w:val="0"/>
              <w:spacing w:line="460" w:lineRule="exact"/>
              <w:ind w:left="494"/>
              <w:rPr>
                <w:rFonts w:ascii="標楷體" w:eastAsia="標楷體" w:hAnsi="標楷體"/>
                <w:sz w:val="32"/>
                <w:szCs w:val="32"/>
              </w:rPr>
            </w:pPr>
            <w:r w:rsidRPr="00B851CE">
              <w:rPr>
                <w:rFonts w:ascii="標楷體" w:eastAsia="標楷體" w:hAnsi="標楷體" w:hint="eastAsia"/>
                <w:sz w:val="32"/>
                <w:szCs w:val="32"/>
              </w:rPr>
              <w:t>居住者：居住者之應稅所得為其所得總額減除個人免稅額，其累進稅率為1%至27%。</w:t>
            </w:r>
          </w:p>
          <w:p w:rsidR="008402C9" w:rsidRPr="00B851CE" w:rsidRDefault="008402C9" w:rsidP="00D42F5D">
            <w:pPr>
              <w:numPr>
                <w:ilvl w:val="0"/>
                <w:numId w:val="9"/>
              </w:numPr>
              <w:snapToGrid w:val="0"/>
              <w:spacing w:line="460" w:lineRule="exact"/>
              <w:ind w:left="494"/>
              <w:rPr>
                <w:rFonts w:ascii="標楷體" w:eastAsia="標楷體" w:hAnsi="標楷體"/>
                <w:sz w:val="32"/>
                <w:szCs w:val="32"/>
              </w:rPr>
            </w:pPr>
            <w:r w:rsidRPr="00B851CE">
              <w:rPr>
                <w:rFonts w:ascii="標楷體" w:eastAsia="標楷體" w:hAnsi="標楷體" w:hint="eastAsia"/>
                <w:sz w:val="32"/>
                <w:szCs w:val="32"/>
              </w:rPr>
              <w:t>非居住者：非居住者的課稅率為27%，且不得享有個人減免，但對為取得工作准</w:t>
            </w:r>
            <w:proofErr w:type="gramStart"/>
            <w:r w:rsidRPr="00B851CE">
              <w:rPr>
                <w:rFonts w:ascii="標楷體" w:eastAsia="標楷體" w:hAnsi="標楷體" w:hint="eastAsia"/>
                <w:sz w:val="32"/>
                <w:szCs w:val="32"/>
              </w:rPr>
              <w:t>證繳予</w:t>
            </w:r>
            <w:proofErr w:type="gramEnd"/>
            <w:r w:rsidRPr="00B851CE">
              <w:rPr>
                <w:rFonts w:ascii="標楷體" w:eastAsia="標楷體" w:hAnsi="標楷體" w:hint="eastAsia"/>
                <w:sz w:val="32"/>
                <w:szCs w:val="32"/>
              </w:rPr>
              <w:t>政府的費用，可要求退回。</w:t>
            </w:r>
          </w:p>
          <w:p w:rsidR="008402C9" w:rsidRPr="00B851CE" w:rsidRDefault="008402C9" w:rsidP="00D42F5D">
            <w:pPr>
              <w:numPr>
                <w:ilvl w:val="0"/>
                <w:numId w:val="6"/>
              </w:numPr>
              <w:snapToGrid w:val="0"/>
              <w:spacing w:line="460" w:lineRule="exact"/>
              <w:ind w:left="494"/>
              <w:rPr>
                <w:rFonts w:ascii="標楷體" w:eastAsia="標楷體" w:hAnsi="標楷體"/>
                <w:sz w:val="32"/>
                <w:szCs w:val="32"/>
              </w:rPr>
            </w:pPr>
            <w:r w:rsidRPr="00B851CE">
              <w:rPr>
                <w:rFonts w:ascii="標楷體" w:eastAsia="標楷體" w:hAnsi="標楷體" w:hint="eastAsia"/>
                <w:sz w:val="32"/>
                <w:szCs w:val="32"/>
              </w:rPr>
              <w:t>增值稅：馬來西亞政府亦稱之為商品與服務稅(GST)，於2015年4月1日起實施，稅率為6%，並撤銷銷售稅及服務稅，豁免徵稅項目包括民生基本必需品，包括米、糖、食用油及鹽、自來水、交通費及醫療費等。</w:t>
            </w:r>
          </w:p>
          <w:p w:rsidR="008402C9" w:rsidRPr="00CD5F9A" w:rsidRDefault="008402C9" w:rsidP="00CD5F9A">
            <w:pPr>
              <w:numPr>
                <w:ilvl w:val="0"/>
                <w:numId w:val="6"/>
              </w:numPr>
              <w:snapToGrid w:val="0"/>
              <w:spacing w:line="460" w:lineRule="exact"/>
              <w:ind w:left="494"/>
              <w:rPr>
                <w:rFonts w:ascii="標楷體" w:eastAsia="標楷體" w:hAnsi="標楷體"/>
                <w:sz w:val="32"/>
                <w:szCs w:val="32"/>
              </w:rPr>
            </w:pPr>
            <w:r w:rsidRPr="00CD5F9A">
              <w:rPr>
                <w:rFonts w:ascii="標楷體" w:eastAsia="標楷體" w:hAnsi="標楷體" w:hint="eastAsia"/>
                <w:sz w:val="32"/>
                <w:szCs w:val="32"/>
              </w:rPr>
              <w:t>中小企業獎勵措施：自2009年起，股本在250萬馬幣以下的中小企業，可對其50萬馬幣法定收入，享有營利事業所得稅減免20%的優惠，超過部份仍按25%計算。另股本不超過50萬馬幣，且馬來西亞國民擁有之股份至少</w:t>
            </w:r>
            <w:proofErr w:type="gramStart"/>
            <w:r w:rsidRPr="00CD5F9A">
              <w:rPr>
                <w:rFonts w:ascii="標楷體" w:eastAsia="標楷體" w:hAnsi="標楷體" w:hint="eastAsia"/>
                <w:sz w:val="32"/>
                <w:szCs w:val="32"/>
              </w:rPr>
              <w:t>佔</w:t>
            </w:r>
            <w:proofErr w:type="gramEnd"/>
            <w:r w:rsidRPr="00CD5F9A">
              <w:rPr>
                <w:rFonts w:ascii="標楷體" w:eastAsia="標楷體" w:hAnsi="標楷體" w:hint="eastAsia"/>
                <w:sz w:val="32"/>
                <w:szCs w:val="32"/>
              </w:rPr>
              <w:t>60%的小型製造企業，可申請下列獎勵之</w:t>
            </w:r>
            <w:proofErr w:type="gramStart"/>
            <w:r w:rsidRPr="00CD5F9A">
              <w:rPr>
                <w:rFonts w:ascii="標楷體" w:eastAsia="標楷體" w:hAnsi="標楷體" w:hint="eastAsia"/>
                <w:sz w:val="32"/>
                <w:szCs w:val="32"/>
              </w:rPr>
              <w:t>一</w:t>
            </w:r>
            <w:proofErr w:type="gramEnd"/>
            <w:r w:rsidRPr="00CD5F9A">
              <w:rPr>
                <w:rFonts w:ascii="標楷體" w:eastAsia="標楷體" w:hAnsi="標楷體" w:hint="eastAsia"/>
                <w:sz w:val="32"/>
                <w:szCs w:val="32"/>
              </w:rPr>
              <w:t>：</w:t>
            </w:r>
          </w:p>
          <w:p w:rsidR="008402C9" w:rsidRPr="00B851CE" w:rsidRDefault="008402C9" w:rsidP="00D42F5D">
            <w:pPr>
              <w:numPr>
                <w:ilvl w:val="0"/>
                <w:numId w:val="7"/>
              </w:numPr>
              <w:snapToGrid w:val="0"/>
              <w:spacing w:line="460" w:lineRule="exact"/>
              <w:ind w:left="919"/>
              <w:rPr>
                <w:rFonts w:ascii="標楷體" w:eastAsia="標楷體" w:hAnsi="標楷體"/>
                <w:sz w:val="32"/>
                <w:szCs w:val="32"/>
              </w:rPr>
            </w:pPr>
            <w:r w:rsidRPr="00B851CE">
              <w:rPr>
                <w:rFonts w:ascii="標楷體" w:eastAsia="標楷體" w:hAnsi="標楷體" w:hint="eastAsia"/>
                <w:sz w:val="32"/>
                <w:szCs w:val="32"/>
              </w:rPr>
              <w:t>為期5年的新興工業地位，其法定所得完全免稅；</w:t>
            </w:r>
          </w:p>
          <w:p w:rsidR="008402C9" w:rsidRPr="00B851CE" w:rsidRDefault="008402C9" w:rsidP="00D42F5D">
            <w:pPr>
              <w:numPr>
                <w:ilvl w:val="0"/>
                <w:numId w:val="7"/>
              </w:numPr>
              <w:snapToGrid w:val="0"/>
              <w:spacing w:line="460" w:lineRule="exact"/>
              <w:ind w:left="919"/>
              <w:rPr>
                <w:rFonts w:ascii="標楷體" w:eastAsia="標楷體" w:hAnsi="標楷體"/>
                <w:sz w:val="32"/>
                <w:szCs w:val="32"/>
              </w:rPr>
            </w:pPr>
            <w:r w:rsidRPr="00B851CE">
              <w:rPr>
                <w:rFonts w:ascii="標楷體" w:eastAsia="標楷體" w:hAnsi="標楷體" w:hint="eastAsia"/>
                <w:sz w:val="32"/>
                <w:szCs w:val="32"/>
              </w:rPr>
              <w:t>5年內其合格資本支出，可享有60%投資賦稅抵減。該</w:t>
            </w:r>
            <w:proofErr w:type="gramStart"/>
            <w:r w:rsidRPr="00B851CE">
              <w:rPr>
                <w:rFonts w:ascii="標楷體" w:eastAsia="標楷體" w:hAnsi="標楷體" w:hint="eastAsia"/>
                <w:sz w:val="32"/>
                <w:szCs w:val="32"/>
              </w:rPr>
              <w:t>抵減可被</w:t>
            </w:r>
            <w:proofErr w:type="gramEnd"/>
            <w:r w:rsidRPr="00B851CE">
              <w:rPr>
                <w:rFonts w:ascii="標楷體" w:eastAsia="標楷體" w:hAnsi="標楷體" w:hint="eastAsia"/>
                <w:sz w:val="32"/>
                <w:szCs w:val="32"/>
              </w:rPr>
              <w:t>用來抵銷每課稅年的全部法定收入。</w:t>
            </w:r>
          </w:p>
          <w:p w:rsidR="008402C9" w:rsidRPr="00B851CE" w:rsidRDefault="008402C9" w:rsidP="00CD5F9A">
            <w:pPr>
              <w:snapToGrid w:val="0"/>
              <w:spacing w:line="460" w:lineRule="exact"/>
              <w:ind w:left="439"/>
              <w:rPr>
                <w:rFonts w:ascii="標楷體" w:eastAsia="標楷體" w:hAnsi="標楷體"/>
                <w:sz w:val="32"/>
                <w:szCs w:val="32"/>
              </w:rPr>
            </w:pPr>
            <w:r w:rsidRPr="00B851CE">
              <w:rPr>
                <w:rFonts w:ascii="標楷體" w:eastAsia="標楷體" w:hAnsi="標楷體" w:hint="eastAsia"/>
                <w:sz w:val="32"/>
                <w:szCs w:val="32"/>
              </w:rPr>
              <w:t>自2012年3月2日起，小型製造業須符合下列條件之</w:t>
            </w:r>
            <w:proofErr w:type="gramStart"/>
            <w:r w:rsidRPr="00B851CE">
              <w:rPr>
                <w:rFonts w:ascii="標楷體" w:eastAsia="標楷體" w:hAnsi="標楷體" w:hint="eastAsia"/>
                <w:sz w:val="32"/>
                <w:szCs w:val="32"/>
              </w:rPr>
              <w:t>一</w:t>
            </w:r>
            <w:proofErr w:type="gramEnd"/>
            <w:r w:rsidR="00CD5F9A">
              <w:rPr>
                <w:rFonts w:ascii="標楷體" w:eastAsia="標楷體" w:hAnsi="標楷體" w:hint="eastAsia"/>
                <w:sz w:val="32"/>
                <w:szCs w:val="32"/>
              </w:rPr>
              <w:t>者，</w:t>
            </w:r>
            <w:r w:rsidR="00CD5F9A" w:rsidRPr="00B851CE">
              <w:rPr>
                <w:rFonts w:ascii="標楷體" w:eastAsia="標楷體" w:hAnsi="標楷體" w:hint="eastAsia"/>
                <w:sz w:val="32"/>
                <w:szCs w:val="32"/>
              </w:rPr>
              <w:t>合格資本支出可享有100%的投資稅負抵減，為期5年，抵減額可被用來抵銷每課程年度之全部法定收入。</w:t>
            </w:r>
          </w:p>
          <w:p w:rsidR="008402C9" w:rsidRPr="00B851CE" w:rsidRDefault="008402C9" w:rsidP="00CD5F9A">
            <w:pPr>
              <w:numPr>
                <w:ilvl w:val="0"/>
                <w:numId w:val="20"/>
              </w:numPr>
              <w:snapToGrid w:val="0"/>
              <w:spacing w:line="460" w:lineRule="exact"/>
              <w:ind w:left="919"/>
              <w:rPr>
                <w:rFonts w:ascii="標楷體" w:eastAsia="標楷體" w:hAnsi="標楷體"/>
                <w:sz w:val="32"/>
                <w:szCs w:val="32"/>
              </w:rPr>
            </w:pPr>
            <w:r w:rsidRPr="00B851CE">
              <w:rPr>
                <w:rFonts w:ascii="標楷體" w:eastAsia="標楷體" w:hAnsi="標楷體" w:hint="eastAsia"/>
                <w:sz w:val="32"/>
                <w:szCs w:val="32"/>
              </w:rPr>
              <w:t>產品的附加價值至少達25%。</w:t>
            </w:r>
          </w:p>
          <w:p w:rsidR="008402C9" w:rsidRPr="00B851CE" w:rsidRDefault="008402C9" w:rsidP="00CD5F9A">
            <w:pPr>
              <w:numPr>
                <w:ilvl w:val="0"/>
                <w:numId w:val="20"/>
              </w:numPr>
              <w:snapToGrid w:val="0"/>
              <w:spacing w:line="460" w:lineRule="exact"/>
              <w:ind w:left="919"/>
              <w:rPr>
                <w:rFonts w:ascii="標楷體" w:eastAsia="標楷體" w:hAnsi="標楷體"/>
                <w:sz w:val="32"/>
                <w:szCs w:val="32"/>
              </w:rPr>
            </w:pPr>
            <w:r w:rsidRPr="00B851CE">
              <w:rPr>
                <w:rFonts w:ascii="標楷體" w:eastAsia="標楷體" w:hAnsi="標楷體" w:hint="eastAsia"/>
                <w:sz w:val="32"/>
                <w:szCs w:val="32"/>
              </w:rPr>
              <w:t>管理、技術與監督人員比例最少為20%。</w:t>
            </w:r>
          </w:p>
          <w:p w:rsidR="008402C9" w:rsidRPr="00B851CE" w:rsidRDefault="008402C9" w:rsidP="00E12F5C">
            <w:pPr>
              <w:snapToGrid w:val="0"/>
              <w:spacing w:line="460" w:lineRule="exact"/>
              <w:rPr>
                <w:rFonts w:ascii="標楷體" w:eastAsia="標楷體" w:hAnsi="標楷體"/>
                <w:sz w:val="32"/>
                <w:szCs w:val="32"/>
              </w:rPr>
            </w:pPr>
          </w:p>
          <w:p w:rsidR="008402C9" w:rsidRPr="00B851CE" w:rsidRDefault="008402C9" w:rsidP="00D42F5D">
            <w:pPr>
              <w:pStyle w:val="ae"/>
              <w:numPr>
                <w:ilvl w:val="0"/>
                <w:numId w:val="14"/>
              </w:numPr>
              <w:snapToGrid w:val="0"/>
              <w:spacing w:line="460" w:lineRule="exact"/>
              <w:ind w:leftChars="0" w:left="635" w:hanging="708"/>
              <w:rPr>
                <w:rFonts w:ascii="標楷體" w:eastAsia="標楷體" w:hAnsi="標楷體"/>
                <w:sz w:val="32"/>
                <w:szCs w:val="32"/>
              </w:rPr>
            </w:pPr>
            <w:r w:rsidRPr="00B851CE">
              <w:rPr>
                <w:rFonts w:ascii="標楷體" w:eastAsia="標楷體" w:hAnsi="標楷體"/>
                <w:sz w:val="32"/>
                <w:szCs w:val="32"/>
              </w:rPr>
              <w:lastRenderedPageBreak/>
              <w:t>越南</w:t>
            </w:r>
          </w:p>
          <w:p w:rsidR="00870597" w:rsidRDefault="008402C9" w:rsidP="003E0F9B">
            <w:pPr>
              <w:numPr>
                <w:ilvl w:val="0"/>
                <w:numId w:val="12"/>
              </w:numPr>
              <w:snapToGrid w:val="0"/>
              <w:spacing w:line="460" w:lineRule="exact"/>
              <w:ind w:left="352" w:hanging="352"/>
              <w:rPr>
                <w:rFonts w:ascii="標楷體" w:eastAsia="標楷體" w:hAnsi="標楷體"/>
                <w:sz w:val="32"/>
                <w:szCs w:val="32"/>
              </w:rPr>
            </w:pPr>
            <w:r w:rsidRPr="00870597">
              <w:rPr>
                <w:rFonts w:ascii="標楷體" w:eastAsia="標楷體" w:hAnsi="標楷體" w:hint="eastAsia"/>
                <w:sz w:val="32"/>
                <w:szCs w:val="32"/>
              </w:rPr>
              <w:t>營利事業所得稅法（Corporate Income Tax）</w:t>
            </w:r>
            <w:r w:rsidR="00B851CE" w:rsidRPr="00870597">
              <w:rPr>
                <w:rFonts w:ascii="標楷體" w:eastAsia="標楷體" w:hAnsi="標楷體"/>
                <w:sz w:val="32"/>
                <w:szCs w:val="32"/>
              </w:rPr>
              <w:t xml:space="preserve"> http://taxsummaries.pwc.com/uk/taxsummaries/wwts.nsf/ID/Vietnam-Corporate-Taxes-on-corporate-income </w:t>
            </w:r>
          </w:p>
          <w:p w:rsidR="008402C9" w:rsidRPr="00870597" w:rsidRDefault="008402C9" w:rsidP="00870597">
            <w:pPr>
              <w:numPr>
                <w:ilvl w:val="1"/>
                <w:numId w:val="12"/>
              </w:numPr>
              <w:snapToGrid w:val="0"/>
              <w:spacing w:line="460" w:lineRule="exact"/>
              <w:ind w:left="494"/>
              <w:rPr>
                <w:rFonts w:ascii="標楷體" w:eastAsia="標楷體" w:hAnsi="標楷體"/>
                <w:sz w:val="32"/>
                <w:szCs w:val="32"/>
              </w:rPr>
            </w:pPr>
            <w:r w:rsidRPr="00870597">
              <w:rPr>
                <w:rFonts w:ascii="標楷體" w:eastAsia="標楷體" w:hAnsi="標楷體" w:hint="eastAsia"/>
                <w:sz w:val="32"/>
                <w:szCs w:val="32"/>
              </w:rPr>
              <w:t>規定中小型企業適用的營利事業所得稅額由先前的25%調降為20%。中小企業的認定標準須具備：員工數200人(含)以下以及年營業額200億盾(含)以下兩條件。</w:t>
            </w:r>
          </w:p>
          <w:p w:rsidR="008402C9" w:rsidRPr="00B851CE" w:rsidRDefault="008402C9" w:rsidP="00870597">
            <w:pPr>
              <w:numPr>
                <w:ilvl w:val="1"/>
                <w:numId w:val="12"/>
              </w:numPr>
              <w:snapToGrid w:val="0"/>
              <w:spacing w:line="460" w:lineRule="exact"/>
              <w:ind w:left="494"/>
              <w:rPr>
                <w:rFonts w:ascii="標楷體" w:eastAsia="標楷體" w:hAnsi="標楷體"/>
                <w:sz w:val="32"/>
                <w:szCs w:val="32"/>
              </w:rPr>
            </w:pPr>
            <w:r w:rsidRPr="00B851CE">
              <w:rPr>
                <w:rFonts w:ascii="標楷體" w:eastAsia="標楷體" w:hAnsi="標楷體" w:hint="eastAsia"/>
                <w:sz w:val="32"/>
                <w:szCs w:val="32"/>
              </w:rPr>
              <w:t>2009年1月1日前</w:t>
            </w:r>
            <w:proofErr w:type="gramStart"/>
            <w:r w:rsidRPr="00B851CE">
              <w:rPr>
                <w:rFonts w:ascii="標楷體" w:eastAsia="標楷體" w:hAnsi="標楷體" w:hint="eastAsia"/>
                <w:sz w:val="32"/>
                <w:szCs w:val="32"/>
              </w:rPr>
              <w:t>企業因擴廠</w:t>
            </w:r>
            <w:proofErr w:type="gramEnd"/>
            <w:r w:rsidRPr="00B851CE">
              <w:rPr>
                <w:rFonts w:ascii="標楷體" w:eastAsia="標楷體" w:hAnsi="標楷體" w:hint="eastAsia"/>
                <w:sz w:val="32"/>
                <w:szCs w:val="32"/>
              </w:rPr>
              <w:t>而曾經政府准許享有的投資優惠，現僅適用於政府公告鼓勵的特定產業或特定地區。</w:t>
            </w:r>
          </w:p>
          <w:p w:rsidR="008402C9" w:rsidRPr="00B851CE" w:rsidRDefault="008402C9" w:rsidP="00870597">
            <w:pPr>
              <w:numPr>
                <w:ilvl w:val="0"/>
                <w:numId w:val="21"/>
              </w:numPr>
              <w:snapToGrid w:val="0"/>
              <w:spacing w:line="460" w:lineRule="exact"/>
              <w:ind w:left="919"/>
              <w:rPr>
                <w:rFonts w:ascii="標楷體" w:eastAsia="標楷體" w:hAnsi="標楷體"/>
                <w:sz w:val="32"/>
                <w:szCs w:val="32"/>
              </w:rPr>
            </w:pPr>
            <w:r w:rsidRPr="00B851CE">
              <w:rPr>
                <w:rFonts w:ascii="標楷體" w:eastAsia="標楷體" w:hAnsi="標楷體" w:hint="eastAsia"/>
                <w:sz w:val="32"/>
                <w:szCs w:val="32"/>
              </w:rPr>
              <w:t>企業擴廠而於政府公告鼓勵投資產業清單或</w:t>
            </w:r>
            <w:proofErr w:type="gramStart"/>
            <w:r w:rsidRPr="00B851CE">
              <w:rPr>
                <w:rFonts w:ascii="標楷體" w:eastAsia="標楷體" w:hAnsi="標楷體" w:hint="eastAsia"/>
                <w:sz w:val="32"/>
                <w:szCs w:val="32"/>
              </w:rPr>
              <w:t>貧脊</w:t>
            </w:r>
            <w:proofErr w:type="gramEnd"/>
            <w:r w:rsidRPr="00B851CE">
              <w:rPr>
                <w:rFonts w:ascii="標楷體" w:eastAsia="標楷體" w:hAnsi="標楷體" w:hint="eastAsia"/>
                <w:sz w:val="32"/>
                <w:szCs w:val="32"/>
              </w:rPr>
              <w:t>地區者，</w:t>
            </w:r>
            <w:proofErr w:type="gramStart"/>
            <w:r w:rsidRPr="00B851CE">
              <w:rPr>
                <w:rFonts w:ascii="標楷體" w:eastAsia="標楷體" w:hAnsi="標楷體" w:hint="eastAsia"/>
                <w:sz w:val="32"/>
                <w:szCs w:val="32"/>
              </w:rPr>
              <w:t>可適同新</w:t>
            </w:r>
            <w:proofErr w:type="gramEnd"/>
            <w:r w:rsidRPr="00B851CE">
              <w:rPr>
                <w:rFonts w:ascii="標楷體" w:eastAsia="標楷體" w:hAnsi="標楷體" w:hint="eastAsia"/>
                <w:sz w:val="32"/>
                <w:szCs w:val="32"/>
              </w:rPr>
              <w:t xml:space="preserve">成立的公司享有優惠措施（最高為4年免徵營所稅及後續9年減免一半）。 </w:t>
            </w:r>
          </w:p>
          <w:p w:rsidR="008402C9" w:rsidRPr="00B851CE" w:rsidRDefault="008402C9" w:rsidP="00870597">
            <w:pPr>
              <w:numPr>
                <w:ilvl w:val="0"/>
                <w:numId w:val="21"/>
              </w:numPr>
              <w:snapToGrid w:val="0"/>
              <w:spacing w:line="460" w:lineRule="exact"/>
              <w:ind w:left="919"/>
              <w:rPr>
                <w:rFonts w:ascii="標楷體" w:eastAsia="標楷體" w:hAnsi="標楷體"/>
                <w:sz w:val="32"/>
                <w:szCs w:val="32"/>
              </w:rPr>
            </w:pPr>
            <w:r w:rsidRPr="00B851CE">
              <w:rPr>
                <w:rFonts w:ascii="標楷體" w:eastAsia="標楷體" w:hAnsi="標楷體" w:hint="eastAsia"/>
                <w:sz w:val="32"/>
                <w:szCs w:val="32"/>
              </w:rPr>
              <w:t>新投資事業由於投資之產業別、所在地區（省、市、縣）、工業區（加工出口區、經濟特區、高科技園區）內或非工業區（加工出口區、經濟特區、高科技園區）及聘僱人數不同適用不同營利事業所得稅之稅率及減免優惠。</w:t>
            </w:r>
          </w:p>
          <w:p w:rsidR="008402C9" w:rsidRPr="00B851CE" w:rsidRDefault="008402C9" w:rsidP="00870597">
            <w:pPr>
              <w:numPr>
                <w:ilvl w:val="0"/>
                <w:numId w:val="21"/>
              </w:numPr>
              <w:snapToGrid w:val="0"/>
              <w:spacing w:line="460" w:lineRule="exact"/>
              <w:ind w:left="919"/>
              <w:rPr>
                <w:rFonts w:ascii="標楷體" w:eastAsia="標楷體" w:hAnsi="標楷體"/>
                <w:sz w:val="32"/>
                <w:szCs w:val="32"/>
              </w:rPr>
            </w:pPr>
            <w:r w:rsidRPr="00B851CE">
              <w:rPr>
                <w:rFonts w:ascii="標楷體" w:eastAsia="標楷體" w:hAnsi="標楷體" w:hint="eastAsia"/>
                <w:sz w:val="32"/>
                <w:szCs w:val="32"/>
              </w:rPr>
              <w:t>新投資事業由於投資之特別貧困地區、經濟特區、高科技園區或投資項目為高科技、科技研究、技術發展、國家重要基礎設施、軟體加工、培訓教育、職訓、衛生、文化、體育、環境等領域，投資者可享有自獲利起4年內免繳營利事業所得稅，後續9年減半之優惠。</w:t>
            </w:r>
          </w:p>
          <w:p w:rsidR="008402C9" w:rsidRPr="00B851CE" w:rsidRDefault="008402C9" w:rsidP="00870597">
            <w:pPr>
              <w:numPr>
                <w:ilvl w:val="0"/>
                <w:numId w:val="21"/>
              </w:numPr>
              <w:snapToGrid w:val="0"/>
              <w:spacing w:line="460" w:lineRule="exact"/>
              <w:ind w:left="919"/>
              <w:rPr>
                <w:rFonts w:ascii="標楷體" w:eastAsia="標楷體" w:hAnsi="標楷體"/>
                <w:sz w:val="32"/>
                <w:szCs w:val="32"/>
              </w:rPr>
            </w:pPr>
            <w:r w:rsidRPr="00B851CE">
              <w:rPr>
                <w:rFonts w:ascii="標楷體" w:eastAsia="標楷體" w:hAnsi="標楷體" w:hint="eastAsia"/>
                <w:sz w:val="32"/>
                <w:szCs w:val="32"/>
              </w:rPr>
              <w:t>新投資事業由於投資之貧困地區，投資者可享有自獲利起2年內免徵營利事業所得稅，後續4年減半之優惠。</w:t>
            </w:r>
          </w:p>
          <w:p w:rsidR="008402C9" w:rsidRPr="00B851CE" w:rsidRDefault="008402C9" w:rsidP="00870597">
            <w:pPr>
              <w:numPr>
                <w:ilvl w:val="1"/>
                <w:numId w:val="12"/>
              </w:numPr>
              <w:snapToGrid w:val="0"/>
              <w:spacing w:line="460" w:lineRule="exact"/>
              <w:ind w:left="494"/>
              <w:rPr>
                <w:rFonts w:ascii="標楷體" w:eastAsia="標楷體" w:hAnsi="標楷體"/>
                <w:sz w:val="32"/>
                <w:szCs w:val="32"/>
              </w:rPr>
            </w:pPr>
            <w:r w:rsidRPr="00B851CE">
              <w:rPr>
                <w:rFonts w:ascii="標楷體" w:eastAsia="標楷體" w:hAnsi="標楷體" w:hint="eastAsia"/>
                <w:sz w:val="32"/>
                <w:szCs w:val="32"/>
              </w:rPr>
              <w:lastRenderedPageBreak/>
              <w:t>本條所規定之營利事業所得稅減免期間以自企業營業獲利之年起實施，倘企業於開始營業之首3年未經營獲利者，自營業獲利之首年起營利事業所得稅減免期間以第4年起實施。</w:t>
            </w:r>
          </w:p>
          <w:p w:rsidR="008402C9" w:rsidRPr="00870597" w:rsidRDefault="008402C9" w:rsidP="003E0F9B">
            <w:pPr>
              <w:numPr>
                <w:ilvl w:val="0"/>
                <w:numId w:val="12"/>
              </w:numPr>
              <w:snapToGrid w:val="0"/>
              <w:spacing w:line="460" w:lineRule="exact"/>
              <w:ind w:left="352" w:hanging="352"/>
              <w:rPr>
                <w:rFonts w:ascii="標楷體" w:eastAsia="標楷體" w:hAnsi="標楷體"/>
                <w:sz w:val="32"/>
                <w:szCs w:val="32"/>
              </w:rPr>
            </w:pPr>
            <w:r w:rsidRPr="00870597">
              <w:rPr>
                <w:rFonts w:ascii="標楷體" w:eastAsia="標楷體" w:hAnsi="標楷體" w:hint="eastAsia"/>
                <w:sz w:val="32"/>
                <w:szCs w:val="32"/>
              </w:rPr>
              <w:t>增值稅(Value Added Tax, VAT)</w:t>
            </w:r>
            <w:r w:rsidR="00870597" w:rsidRPr="00870597">
              <w:rPr>
                <w:rFonts w:ascii="標楷體" w:eastAsia="標楷體" w:hAnsi="標楷體" w:hint="eastAsia"/>
                <w:sz w:val="32"/>
                <w:szCs w:val="32"/>
              </w:rPr>
              <w:t>：</w:t>
            </w:r>
            <w:r w:rsidRPr="00870597">
              <w:rPr>
                <w:rFonts w:ascii="標楷體" w:eastAsia="標楷體" w:hAnsi="標楷體" w:hint="eastAsia"/>
                <w:sz w:val="32"/>
                <w:szCs w:val="32"/>
              </w:rPr>
              <w:t>在越南境內生產、貿易、消費的貨物及勞務增加價值。一般稅率額為10%</w:t>
            </w:r>
            <w:r w:rsidR="00B851CE" w:rsidRPr="00870597">
              <w:rPr>
                <w:rFonts w:ascii="標楷體" w:eastAsia="標楷體" w:hAnsi="標楷體" w:hint="eastAsia"/>
                <w:sz w:val="32"/>
                <w:szCs w:val="32"/>
              </w:rPr>
              <w:t xml:space="preserve"> 。(</w:t>
            </w:r>
            <w:hyperlink r:id="rId9" w:history="1">
              <w:r w:rsidR="00B851CE" w:rsidRPr="00870597">
                <w:rPr>
                  <w:rStyle w:val="a8"/>
                  <w:rFonts w:ascii="Times New Roman" w:eastAsia="標楷體" w:hAnsi="Times New Roman"/>
                  <w:color w:val="000000"/>
                  <w:sz w:val="32"/>
                  <w:szCs w:val="32"/>
                </w:rPr>
                <w:t>http://www.ey.com/GL/en/Services/Tax/Worldwide-VAT-GST-Sales-Tax-Guide---Country-list</w:t>
              </w:r>
            </w:hyperlink>
            <w:r w:rsidR="00B851CE" w:rsidRPr="00870597">
              <w:rPr>
                <w:rFonts w:ascii="Times New Roman" w:eastAsia="標楷體" w:hAnsi="Times New Roman"/>
                <w:sz w:val="32"/>
                <w:szCs w:val="32"/>
              </w:rPr>
              <w:t xml:space="preserve"> </w:t>
            </w:r>
            <w:r w:rsidR="00B851CE" w:rsidRPr="00870597">
              <w:rPr>
                <w:rFonts w:ascii="標楷體" w:eastAsia="標楷體" w:hAnsi="標楷體" w:hint="eastAsia"/>
                <w:sz w:val="32"/>
                <w:szCs w:val="32"/>
              </w:rPr>
              <w:t>)</w:t>
            </w:r>
          </w:p>
          <w:p w:rsidR="008402C9" w:rsidRPr="00B851CE" w:rsidRDefault="008402C9" w:rsidP="00E12F5C">
            <w:pPr>
              <w:snapToGrid w:val="0"/>
              <w:spacing w:line="460" w:lineRule="exact"/>
              <w:rPr>
                <w:rFonts w:ascii="標楷體" w:eastAsia="標楷體" w:hAnsi="標楷體"/>
                <w:sz w:val="32"/>
                <w:szCs w:val="32"/>
              </w:rPr>
            </w:pPr>
          </w:p>
          <w:p w:rsidR="008402C9" w:rsidRPr="00B851CE" w:rsidRDefault="008402C9" w:rsidP="00D42F5D">
            <w:pPr>
              <w:pStyle w:val="ae"/>
              <w:numPr>
                <w:ilvl w:val="0"/>
                <w:numId w:val="14"/>
              </w:numPr>
              <w:snapToGrid w:val="0"/>
              <w:spacing w:line="460" w:lineRule="exact"/>
              <w:ind w:leftChars="0" w:left="635" w:hanging="708"/>
              <w:rPr>
                <w:rFonts w:ascii="標楷體" w:eastAsia="標楷體" w:hAnsi="標楷體"/>
                <w:sz w:val="32"/>
                <w:szCs w:val="32"/>
              </w:rPr>
            </w:pPr>
            <w:r w:rsidRPr="00B851CE">
              <w:rPr>
                <w:rFonts w:ascii="標楷體" w:eastAsia="標楷體" w:hAnsi="標楷體"/>
                <w:sz w:val="32"/>
                <w:szCs w:val="32"/>
              </w:rPr>
              <w:t>泰國</w:t>
            </w:r>
          </w:p>
          <w:p w:rsidR="008402C9" w:rsidRPr="00B851CE" w:rsidRDefault="008402C9" w:rsidP="003E0F9B">
            <w:pPr>
              <w:numPr>
                <w:ilvl w:val="0"/>
                <w:numId w:val="13"/>
              </w:numPr>
              <w:snapToGrid w:val="0"/>
              <w:spacing w:line="460" w:lineRule="exact"/>
              <w:ind w:left="352" w:hanging="352"/>
              <w:rPr>
                <w:rFonts w:ascii="標楷體" w:eastAsia="標楷體" w:hAnsi="標楷體"/>
                <w:sz w:val="32"/>
                <w:szCs w:val="32"/>
              </w:rPr>
            </w:pPr>
            <w:r w:rsidRPr="00B851CE">
              <w:rPr>
                <w:rFonts w:ascii="標楷體" w:eastAsia="標楷體" w:hAnsi="標楷體" w:hint="eastAsia"/>
                <w:sz w:val="32"/>
                <w:szCs w:val="32"/>
              </w:rPr>
              <w:t>泰國在實施最低工資的政策後，配套削減企業的所得稅(Income Tax)，從2012年的30%逐年調降到20%，而泰國政府為刺激經濟復甦，更在2016年1月1日起宣布，企業所得稅稅率永久保持在20%。</w:t>
            </w:r>
            <w:r w:rsidR="00B14C02">
              <w:rPr>
                <w:rFonts w:ascii="標楷體" w:eastAsia="標楷體" w:hAnsi="標楷體" w:hint="eastAsia"/>
                <w:sz w:val="32"/>
                <w:szCs w:val="32"/>
              </w:rPr>
              <w:t>(</w:t>
            </w:r>
            <w:r w:rsidR="00B14C02" w:rsidRPr="00B14C02">
              <w:rPr>
                <w:rFonts w:ascii="標楷體" w:eastAsia="標楷體" w:hAnsi="標楷體" w:hint="eastAsia"/>
                <w:sz w:val="32"/>
                <w:szCs w:val="32"/>
              </w:rPr>
              <w:t xml:space="preserve">香港貿發局經貿研究，泰國市場概況，2016年5月12日，http://emerging-markets-research.hktdc.com/business-news/article/%E4%BA%9E%E6%B4%B2/%E6%B3%B0%E5%9C%8B%E5%B8%82%E5%A0%B4%E6%A6%82%E6%B3%81/mp/tc/1/1X000000/1X003IMW.htm </w:t>
            </w:r>
            <w:r w:rsidR="00B14C02">
              <w:rPr>
                <w:rFonts w:ascii="標楷體" w:eastAsia="標楷體" w:hAnsi="標楷體" w:hint="eastAsia"/>
                <w:sz w:val="32"/>
                <w:szCs w:val="32"/>
              </w:rPr>
              <w:t>)</w:t>
            </w:r>
          </w:p>
          <w:p w:rsidR="008402C9" w:rsidRPr="00870597" w:rsidRDefault="008402C9" w:rsidP="003E0F9B">
            <w:pPr>
              <w:numPr>
                <w:ilvl w:val="0"/>
                <w:numId w:val="13"/>
              </w:numPr>
              <w:snapToGrid w:val="0"/>
              <w:spacing w:line="460" w:lineRule="exact"/>
              <w:ind w:left="352" w:hanging="352"/>
              <w:rPr>
                <w:rFonts w:ascii="標楷體" w:eastAsia="標楷體" w:hAnsi="標楷體"/>
                <w:sz w:val="32"/>
                <w:szCs w:val="32"/>
              </w:rPr>
            </w:pPr>
            <w:r w:rsidRPr="00870597">
              <w:rPr>
                <w:rFonts w:ascii="標楷體" w:eastAsia="標楷體" w:hAnsi="標楷體" w:hint="eastAsia"/>
                <w:sz w:val="32"/>
                <w:szCs w:val="32"/>
              </w:rPr>
              <w:t>增值稅(Value Added Tax, VAT)</w:t>
            </w:r>
            <w:r w:rsidR="00870597" w:rsidRPr="00870597">
              <w:rPr>
                <w:rFonts w:ascii="標楷體" w:eastAsia="標楷體" w:hAnsi="標楷體" w:hint="eastAsia"/>
                <w:sz w:val="32"/>
                <w:szCs w:val="32"/>
              </w:rPr>
              <w:t>：</w:t>
            </w:r>
            <w:r w:rsidRPr="00870597">
              <w:rPr>
                <w:rFonts w:ascii="標楷體" w:eastAsia="標楷體" w:hAnsi="標楷體" w:hint="eastAsia"/>
                <w:sz w:val="32"/>
                <w:szCs w:val="32"/>
              </w:rPr>
              <w:t>在泰國境內消費商品或服務者為課稅對象，目前課稅稅率為7%</w:t>
            </w:r>
            <w:r w:rsidR="00B14C02" w:rsidRPr="00870597">
              <w:rPr>
                <w:rFonts w:ascii="標楷體" w:eastAsia="標楷體" w:hAnsi="標楷體" w:hint="eastAsia"/>
                <w:sz w:val="32"/>
                <w:szCs w:val="32"/>
              </w:rPr>
              <w:t>(該稅率預期在2016年9月30日增加，Worldwide VAT、GST and Sales Tax Guide 2016，http://www.ey.com/GL/en/Services/Tax/Worldwide-VAT-GST-Sales-Tax-Guide---Country-list)</w:t>
            </w:r>
            <w:r w:rsidRPr="00870597">
              <w:rPr>
                <w:rFonts w:ascii="標楷體" w:eastAsia="標楷體" w:hAnsi="標楷體" w:hint="eastAsia"/>
                <w:sz w:val="32"/>
                <w:szCs w:val="32"/>
              </w:rPr>
              <w:t>，數位或電子商務等交易亦適用上述稅率額，且泰國政府</w:t>
            </w:r>
            <w:proofErr w:type="gramStart"/>
            <w:r w:rsidRPr="00870597">
              <w:rPr>
                <w:rFonts w:ascii="標楷體" w:eastAsia="標楷體" w:hAnsi="標楷體" w:hint="eastAsia"/>
                <w:sz w:val="32"/>
                <w:szCs w:val="32"/>
              </w:rPr>
              <w:t>研</w:t>
            </w:r>
            <w:proofErr w:type="gramEnd"/>
            <w:r w:rsidRPr="00870597">
              <w:rPr>
                <w:rFonts w:ascii="標楷體" w:eastAsia="標楷體" w:hAnsi="標楷體" w:hint="eastAsia"/>
                <w:sz w:val="32"/>
                <w:szCs w:val="32"/>
              </w:rPr>
              <w:t>擬在未來透過手機APP下載方式進行。</w:t>
            </w:r>
          </w:p>
          <w:p w:rsidR="008402C9" w:rsidRPr="00B851CE" w:rsidRDefault="008402C9" w:rsidP="00E12F5C">
            <w:pPr>
              <w:snapToGrid w:val="0"/>
              <w:spacing w:line="460" w:lineRule="exact"/>
              <w:rPr>
                <w:rFonts w:ascii="標楷體" w:eastAsia="標楷體" w:hAnsi="標楷體"/>
                <w:sz w:val="32"/>
                <w:szCs w:val="32"/>
              </w:rPr>
            </w:pPr>
          </w:p>
        </w:tc>
        <w:tc>
          <w:tcPr>
            <w:tcW w:w="885" w:type="dxa"/>
          </w:tcPr>
          <w:p w:rsidR="008402C9" w:rsidRPr="00B851CE" w:rsidRDefault="00B851CE"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lastRenderedPageBreak/>
              <w:t>資策會科法所提供</w:t>
            </w:r>
          </w:p>
        </w:tc>
      </w:tr>
      <w:tr w:rsidR="006E3279" w:rsidRPr="00B851CE" w:rsidTr="006F0EC6">
        <w:tc>
          <w:tcPr>
            <w:tcW w:w="1384" w:type="dxa"/>
          </w:tcPr>
          <w:p w:rsidR="006E3279" w:rsidRPr="00B851CE" w:rsidRDefault="008402C9"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lastRenderedPageBreak/>
              <w:t>一般商品檢驗</w:t>
            </w:r>
          </w:p>
        </w:tc>
        <w:tc>
          <w:tcPr>
            <w:tcW w:w="7513" w:type="dxa"/>
          </w:tcPr>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我國前</w:t>
            </w:r>
            <w:r w:rsidRPr="00B851CE">
              <w:rPr>
                <w:rFonts w:ascii="標楷體" w:eastAsia="標楷體" w:hAnsi="標楷體"/>
                <w:sz w:val="32"/>
                <w:szCs w:val="32"/>
              </w:rPr>
              <w:t xml:space="preserve">10 </w:t>
            </w:r>
            <w:r w:rsidRPr="00B851CE">
              <w:rPr>
                <w:rFonts w:ascii="標楷體" w:eastAsia="標楷體" w:hAnsi="標楷體" w:hint="eastAsia"/>
                <w:sz w:val="32"/>
                <w:szCs w:val="32"/>
              </w:rPr>
              <w:t>大貿易國商品檢驗主管機關資訊</w:t>
            </w:r>
          </w:p>
          <w:p w:rsidR="00B2365D" w:rsidRPr="00B851CE" w:rsidRDefault="00B2365D" w:rsidP="00E12F5C">
            <w:pPr>
              <w:snapToGrid w:val="0"/>
              <w:spacing w:line="460" w:lineRule="exact"/>
              <w:rPr>
                <w:rFonts w:ascii="標楷體" w:eastAsia="標楷體" w:hAnsi="標楷體"/>
                <w:sz w:val="32"/>
                <w:szCs w:val="32"/>
              </w:rPr>
            </w:pP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一、中國大陸</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中國大陸</w:t>
            </w:r>
            <w:r w:rsidRPr="00B851CE">
              <w:rPr>
                <w:rFonts w:ascii="標楷體" w:eastAsia="標楷體" w:hAnsi="標楷體"/>
                <w:sz w:val="32"/>
                <w:szCs w:val="32"/>
              </w:rPr>
              <w:t xml:space="preserve">CCC </w:t>
            </w:r>
            <w:r w:rsidRPr="00B851CE">
              <w:rPr>
                <w:rFonts w:ascii="標楷體" w:eastAsia="標楷體" w:hAnsi="標楷體" w:hint="eastAsia"/>
                <w:sz w:val="32"/>
                <w:szCs w:val="32"/>
              </w:rPr>
              <w:t>產品強制性驗證查詢系統網站</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w:t>
            </w:r>
            <w:r w:rsidR="006F0EC6" w:rsidRPr="00B851CE">
              <w:rPr>
                <w:rFonts w:ascii="標楷體" w:eastAsia="標楷體" w:hAnsi="標楷體" w:hint="eastAsia"/>
                <w:sz w:val="32"/>
                <w:szCs w:val="32"/>
              </w:rPr>
              <w:t>經濟部標準檢驗局</w:t>
            </w:r>
            <w:r w:rsidRPr="00B851CE">
              <w:rPr>
                <w:rFonts w:ascii="標楷體" w:eastAsia="標楷體" w:hAnsi="標楷體" w:hint="eastAsia"/>
                <w:sz w:val="32"/>
                <w:szCs w:val="32"/>
              </w:rPr>
              <w:t>委託全國認證基金會建置及維護</w:t>
            </w:r>
            <w:r w:rsidRPr="00B851CE">
              <w:rPr>
                <w:rFonts w:ascii="標楷體" w:eastAsia="標楷體" w:hAnsi="標楷體"/>
                <w:sz w:val="32"/>
                <w:szCs w:val="32"/>
              </w:rPr>
              <w:t>)</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http://www.china3c-search.tw</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質量監督檢驗檢疫總局</w:t>
            </w:r>
            <w:r w:rsidRPr="00B851CE">
              <w:rPr>
                <w:rFonts w:ascii="標楷體" w:eastAsia="標楷體" w:hAnsi="標楷體"/>
                <w:sz w:val="32"/>
                <w:szCs w:val="32"/>
              </w:rPr>
              <w:t>(AQSIQ)</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http://tgyws.aqsiq.gov.cn/xxfw/fjml/201504/t20150403_435864.htm</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認證認可監督管理委員會</w:t>
            </w:r>
            <w:r w:rsidRPr="00B851CE">
              <w:rPr>
                <w:rFonts w:ascii="標楷體" w:eastAsia="標楷體" w:hAnsi="標楷體"/>
                <w:sz w:val="32"/>
                <w:szCs w:val="32"/>
              </w:rPr>
              <w:t>(CNCA)</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http://www.cnca.gov.cn/cnca/rdht/qzxcprz/default.shtml</w:t>
            </w:r>
          </w:p>
          <w:p w:rsidR="00B2365D" w:rsidRPr="00B851CE" w:rsidRDefault="00B2365D" w:rsidP="00E12F5C">
            <w:pPr>
              <w:snapToGrid w:val="0"/>
              <w:spacing w:line="460" w:lineRule="exact"/>
              <w:rPr>
                <w:rFonts w:ascii="標楷體" w:eastAsia="標楷體" w:hAnsi="標楷體"/>
                <w:sz w:val="32"/>
                <w:szCs w:val="32"/>
              </w:rPr>
            </w:pP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二、美國</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美國消費性產品安全委員會</w:t>
            </w:r>
            <w:r w:rsidRPr="00B851CE">
              <w:rPr>
                <w:rFonts w:ascii="標楷體" w:eastAsia="標楷體" w:hAnsi="標楷體"/>
                <w:sz w:val="32"/>
                <w:szCs w:val="32"/>
              </w:rPr>
              <w:t>(CPSC)</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http://www.cpsc.gov/en/Regulations-Laws--Standards/Regulations-Mandatory-Standards-Bans</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能源部</w:t>
            </w:r>
            <w:r w:rsidRPr="00B851CE">
              <w:rPr>
                <w:rFonts w:ascii="標楷體" w:eastAsia="標楷體" w:hAnsi="標楷體"/>
                <w:sz w:val="32"/>
                <w:szCs w:val="32"/>
              </w:rPr>
              <w:t>(DOE)</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http://energy.gov/eere/buildings/appliance-and-equipment-standards-program</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美國聯邦通訊委員會（</w:t>
            </w:r>
            <w:r w:rsidRPr="00B851CE">
              <w:rPr>
                <w:rFonts w:ascii="標楷體" w:eastAsia="標楷體" w:hAnsi="標楷體"/>
                <w:sz w:val="32"/>
                <w:szCs w:val="32"/>
              </w:rPr>
              <w:t>FCC</w:t>
            </w:r>
            <w:r w:rsidRPr="00B851CE">
              <w:rPr>
                <w:rFonts w:ascii="標楷體" w:eastAsia="標楷體" w:hAnsi="標楷體" w:hint="eastAsia"/>
                <w:sz w:val="32"/>
                <w:szCs w:val="32"/>
              </w:rPr>
              <w:t>）</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https://www.fcc.gov/licensing-databases/licensing</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備註：</w:t>
            </w:r>
          </w:p>
          <w:p w:rsidR="00B2365D" w:rsidRPr="00B851CE" w:rsidRDefault="00B2365D" w:rsidP="00E12F5C">
            <w:pPr>
              <w:snapToGrid w:val="0"/>
              <w:spacing w:line="460" w:lineRule="exact"/>
              <w:rPr>
                <w:rFonts w:ascii="標楷體" w:eastAsia="標楷體" w:hAnsi="標楷體"/>
                <w:sz w:val="32"/>
                <w:szCs w:val="32"/>
              </w:rPr>
            </w:pPr>
            <w:proofErr w:type="gramStart"/>
            <w:r w:rsidRPr="00B851CE">
              <w:rPr>
                <w:rFonts w:ascii="標楷體" w:eastAsia="標楷體" w:hAnsi="標楷體" w:hint="eastAsia"/>
                <w:sz w:val="32"/>
                <w:szCs w:val="32"/>
              </w:rPr>
              <w:t>臺</w:t>
            </w:r>
            <w:proofErr w:type="gramEnd"/>
            <w:r w:rsidRPr="00B851CE">
              <w:rPr>
                <w:rFonts w:ascii="標楷體" w:eastAsia="標楷體" w:hAnsi="標楷體" w:hint="eastAsia"/>
                <w:sz w:val="32"/>
                <w:szCs w:val="32"/>
              </w:rPr>
              <w:t>美電磁相容相互承認協定</w:t>
            </w:r>
            <w:r w:rsidRPr="00B851CE">
              <w:rPr>
                <w:rFonts w:ascii="標楷體" w:eastAsia="標楷體" w:hAnsi="標楷體"/>
                <w:sz w:val="32"/>
                <w:szCs w:val="32"/>
              </w:rPr>
              <w:t>(MRA)</w:t>
            </w:r>
            <w:r w:rsidRPr="00B851CE">
              <w:rPr>
                <w:rFonts w:ascii="標楷體" w:eastAsia="標楷體" w:hAnsi="標楷體" w:hint="eastAsia"/>
                <w:sz w:val="32"/>
                <w:szCs w:val="32"/>
              </w:rPr>
              <w:t>由我駐美國台北經濟文化代表處及美國在台協會於</w:t>
            </w:r>
            <w:r w:rsidRPr="00B851CE">
              <w:rPr>
                <w:rFonts w:ascii="標楷體" w:eastAsia="標楷體" w:hAnsi="標楷體"/>
                <w:sz w:val="32"/>
                <w:szCs w:val="32"/>
              </w:rPr>
              <w:t xml:space="preserve">88 </w:t>
            </w:r>
            <w:r w:rsidRPr="00B851CE">
              <w:rPr>
                <w:rFonts w:ascii="標楷體" w:eastAsia="標楷體" w:hAnsi="標楷體" w:hint="eastAsia"/>
                <w:sz w:val="32"/>
                <w:szCs w:val="32"/>
              </w:rPr>
              <w:t>年</w:t>
            </w:r>
            <w:r w:rsidRPr="00B851CE">
              <w:rPr>
                <w:rFonts w:ascii="標楷體" w:eastAsia="標楷體" w:hAnsi="標楷體"/>
                <w:sz w:val="32"/>
                <w:szCs w:val="32"/>
              </w:rPr>
              <w:t xml:space="preserve">3 </w:t>
            </w:r>
            <w:r w:rsidRPr="00B851CE">
              <w:rPr>
                <w:rFonts w:ascii="標楷體" w:eastAsia="標楷體" w:hAnsi="標楷體" w:hint="eastAsia"/>
                <w:sz w:val="32"/>
                <w:szCs w:val="32"/>
              </w:rPr>
              <w:t>月</w:t>
            </w:r>
            <w:r w:rsidRPr="00B851CE">
              <w:rPr>
                <w:rFonts w:ascii="標楷體" w:eastAsia="標楷體" w:hAnsi="標楷體"/>
                <w:sz w:val="32"/>
                <w:szCs w:val="32"/>
              </w:rPr>
              <w:t xml:space="preserve">16 </w:t>
            </w:r>
            <w:r w:rsidRPr="00B851CE">
              <w:rPr>
                <w:rFonts w:ascii="標楷體" w:eastAsia="標楷體" w:hAnsi="標楷體" w:hint="eastAsia"/>
                <w:sz w:val="32"/>
                <w:szCs w:val="32"/>
              </w:rPr>
              <w:t>日以換文方式完成簽署，就資訊產品及工業科學及醫療射頻設備之電磁相容測試報告進行相互承認，迄今美方已認可我方</w:t>
            </w:r>
            <w:r w:rsidRPr="00B851CE">
              <w:rPr>
                <w:rFonts w:ascii="標楷體" w:eastAsia="標楷體" w:hAnsi="標楷體"/>
                <w:sz w:val="32"/>
                <w:szCs w:val="32"/>
              </w:rPr>
              <w:t xml:space="preserve">61 </w:t>
            </w:r>
            <w:r w:rsidRPr="00B851CE">
              <w:rPr>
                <w:rFonts w:ascii="標楷體" w:eastAsia="標楷體" w:hAnsi="標楷體" w:hint="eastAsia"/>
                <w:sz w:val="32"/>
                <w:szCs w:val="32"/>
              </w:rPr>
              <w:t>家實驗室、我方認可美方</w:t>
            </w:r>
            <w:r w:rsidRPr="00B851CE">
              <w:rPr>
                <w:rFonts w:ascii="標楷體" w:eastAsia="標楷體" w:hAnsi="標楷體"/>
                <w:sz w:val="32"/>
                <w:szCs w:val="32"/>
              </w:rPr>
              <w:t xml:space="preserve">78 </w:t>
            </w:r>
            <w:r w:rsidRPr="00B851CE">
              <w:rPr>
                <w:rFonts w:ascii="標楷體" w:eastAsia="標楷體" w:hAnsi="標楷體" w:hint="eastAsia"/>
                <w:sz w:val="32"/>
                <w:szCs w:val="32"/>
              </w:rPr>
              <w:t>家實驗</w:t>
            </w:r>
            <w:r w:rsidRPr="00B851CE">
              <w:rPr>
                <w:rFonts w:ascii="標楷體" w:eastAsia="標楷體" w:hAnsi="標楷體" w:hint="eastAsia"/>
                <w:sz w:val="32"/>
                <w:szCs w:val="32"/>
              </w:rPr>
              <w:lastRenderedPageBreak/>
              <w:t>室，協助我資訊科技產品取得美方測試報告，避免重複檢驗。</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美方認可我方實驗室名單</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https://apps.fcc.gov/oetcf/eas/reports/TestFirmSearchResult.cfm</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 xml:space="preserve">(Designated by </w:t>
            </w:r>
            <w:r w:rsidRPr="00B851CE">
              <w:rPr>
                <w:rFonts w:ascii="標楷體" w:eastAsia="標楷體" w:hAnsi="標楷體" w:hint="eastAsia"/>
                <w:sz w:val="32"/>
                <w:szCs w:val="32"/>
              </w:rPr>
              <w:t>欄位請選</w:t>
            </w:r>
            <w:r w:rsidRPr="00B851CE">
              <w:rPr>
                <w:rFonts w:ascii="標楷體" w:eastAsia="標楷體" w:hAnsi="標楷體"/>
                <w:sz w:val="32"/>
                <w:szCs w:val="32"/>
              </w:rPr>
              <w:t>BSMI)</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我方認可美方實驗室名單</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http://www.bsmi.gov.tw/wSite/public/Data/f1467861571645.pdf</w:t>
            </w:r>
          </w:p>
          <w:p w:rsidR="00B2365D" w:rsidRPr="00B851CE" w:rsidRDefault="00B2365D" w:rsidP="00E12F5C">
            <w:pPr>
              <w:snapToGrid w:val="0"/>
              <w:spacing w:line="460" w:lineRule="exact"/>
              <w:rPr>
                <w:rFonts w:ascii="標楷體" w:eastAsia="標楷體" w:hAnsi="標楷體"/>
                <w:sz w:val="32"/>
                <w:szCs w:val="32"/>
              </w:rPr>
            </w:pP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三、日本</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經濟產業省</w:t>
            </w:r>
            <w:r w:rsidRPr="00B851CE">
              <w:rPr>
                <w:rFonts w:ascii="標楷體" w:eastAsia="標楷體" w:hAnsi="標楷體"/>
                <w:sz w:val="32"/>
                <w:szCs w:val="32"/>
              </w:rPr>
              <w:t>(METI)</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http://www.meti.go.jp/english/policy/economy/consumer/pse/index.html</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備註：</w:t>
            </w:r>
          </w:p>
          <w:p w:rsidR="00B2365D" w:rsidRPr="00B851CE" w:rsidRDefault="00B2365D" w:rsidP="00E12F5C">
            <w:pPr>
              <w:snapToGrid w:val="0"/>
              <w:spacing w:line="460" w:lineRule="exact"/>
              <w:rPr>
                <w:rFonts w:ascii="標楷體" w:eastAsia="標楷體" w:hAnsi="標楷體"/>
                <w:sz w:val="32"/>
                <w:szCs w:val="32"/>
              </w:rPr>
            </w:pPr>
            <w:proofErr w:type="gramStart"/>
            <w:r w:rsidRPr="00B851CE">
              <w:rPr>
                <w:rFonts w:ascii="標楷體" w:eastAsia="標楷體" w:hAnsi="標楷體" w:hint="eastAsia"/>
                <w:sz w:val="32"/>
                <w:szCs w:val="32"/>
              </w:rPr>
              <w:t>臺</w:t>
            </w:r>
            <w:proofErr w:type="gramEnd"/>
            <w:r w:rsidRPr="00B851CE">
              <w:rPr>
                <w:rFonts w:ascii="標楷體" w:eastAsia="標楷體" w:hAnsi="標楷體" w:hint="eastAsia"/>
                <w:sz w:val="32"/>
                <w:szCs w:val="32"/>
              </w:rPr>
              <w:t>日相互承認合作協議</w:t>
            </w:r>
            <w:r w:rsidRPr="00B851CE">
              <w:rPr>
                <w:rFonts w:ascii="標楷體" w:eastAsia="標楷體" w:hAnsi="標楷體"/>
                <w:sz w:val="32"/>
                <w:szCs w:val="32"/>
              </w:rPr>
              <w:t>(MRA)</w:t>
            </w:r>
            <w:r w:rsidRPr="00B851CE">
              <w:rPr>
                <w:rFonts w:ascii="標楷體" w:eastAsia="標楷體" w:hAnsi="標楷體" w:hint="eastAsia"/>
                <w:sz w:val="32"/>
                <w:szCs w:val="32"/>
              </w:rPr>
              <w:t>於</w:t>
            </w:r>
            <w:r w:rsidRPr="00B851CE">
              <w:rPr>
                <w:rFonts w:ascii="標楷體" w:eastAsia="標楷體" w:hAnsi="標楷體"/>
                <w:sz w:val="32"/>
                <w:szCs w:val="32"/>
              </w:rPr>
              <w:t xml:space="preserve">101 </w:t>
            </w:r>
            <w:r w:rsidRPr="00B851CE">
              <w:rPr>
                <w:rFonts w:ascii="標楷體" w:eastAsia="標楷體" w:hAnsi="標楷體" w:hint="eastAsia"/>
                <w:sz w:val="32"/>
                <w:szCs w:val="32"/>
              </w:rPr>
              <w:t>年</w:t>
            </w:r>
            <w:r w:rsidRPr="00B851CE">
              <w:rPr>
                <w:rFonts w:ascii="標楷體" w:eastAsia="標楷體" w:hAnsi="標楷體"/>
                <w:sz w:val="32"/>
                <w:szCs w:val="32"/>
              </w:rPr>
              <w:t xml:space="preserve">11 </w:t>
            </w:r>
            <w:r w:rsidRPr="00B851CE">
              <w:rPr>
                <w:rFonts w:ascii="標楷體" w:eastAsia="標楷體" w:hAnsi="標楷體" w:hint="eastAsia"/>
                <w:sz w:val="32"/>
                <w:szCs w:val="32"/>
              </w:rPr>
              <w:t>月</w:t>
            </w:r>
            <w:r w:rsidRPr="00B851CE">
              <w:rPr>
                <w:rFonts w:ascii="標楷體" w:eastAsia="標楷體" w:hAnsi="標楷體"/>
                <w:sz w:val="32"/>
                <w:szCs w:val="32"/>
              </w:rPr>
              <w:t xml:space="preserve">29 </w:t>
            </w:r>
            <w:r w:rsidRPr="00B851CE">
              <w:rPr>
                <w:rFonts w:ascii="標楷體" w:eastAsia="標楷體" w:hAnsi="標楷體" w:hint="eastAsia"/>
                <w:sz w:val="32"/>
                <w:szCs w:val="32"/>
              </w:rPr>
              <w:t>日簽署，</w:t>
            </w:r>
            <w:r w:rsidRPr="00B851CE">
              <w:rPr>
                <w:rFonts w:ascii="標楷體" w:eastAsia="標楷體" w:hAnsi="標楷體"/>
                <w:sz w:val="32"/>
                <w:szCs w:val="32"/>
              </w:rPr>
              <w:t xml:space="preserve">102 </w:t>
            </w:r>
            <w:r w:rsidRPr="00B851CE">
              <w:rPr>
                <w:rFonts w:ascii="標楷體" w:eastAsia="標楷體" w:hAnsi="標楷體" w:hint="eastAsia"/>
                <w:sz w:val="32"/>
                <w:szCs w:val="32"/>
              </w:rPr>
              <w:t>年</w:t>
            </w:r>
            <w:r w:rsidRPr="00B851CE">
              <w:rPr>
                <w:rFonts w:ascii="標楷體" w:eastAsia="標楷體" w:hAnsi="標楷體"/>
                <w:sz w:val="32"/>
                <w:szCs w:val="32"/>
              </w:rPr>
              <w:t xml:space="preserve">7 </w:t>
            </w:r>
            <w:r w:rsidRPr="00B851CE">
              <w:rPr>
                <w:rFonts w:ascii="標楷體" w:eastAsia="標楷體" w:hAnsi="標楷體" w:hint="eastAsia"/>
                <w:sz w:val="32"/>
                <w:szCs w:val="32"/>
              </w:rPr>
              <w:t>月</w:t>
            </w:r>
            <w:r w:rsidRPr="00B851CE">
              <w:rPr>
                <w:rFonts w:ascii="標楷體" w:eastAsia="標楷體" w:hAnsi="標楷體"/>
                <w:sz w:val="32"/>
                <w:szCs w:val="32"/>
              </w:rPr>
              <w:t>1</w:t>
            </w:r>
            <w:r w:rsidRPr="00B851CE">
              <w:rPr>
                <w:rFonts w:ascii="標楷體" w:eastAsia="標楷體" w:hAnsi="標楷體" w:hint="eastAsia"/>
                <w:sz w:val="32"/>
                <w:szCs w:val="32"/>
              </w:rPr>
              <w:t>日生效，指定</w:t>
            </w:r>
            <w:r w:rsidR="006F0EC6" w:rsidRPr="00B851CE">
              <w:rPr>
                <w:rFonts w:ascii="標楷體" w:eastAsia="標楷體" w:hAnsi="標楷體" w:hint="eastAsia"/>
                <w:sz w:val="32"/>
                <w:szCs w:val="32"/>
              </w:rPr>
              <w:t>經濟部標準檢驗局</w:t>
            </w:r>
            <w:r w:rsidRPr="00B851CE">
              <w:rPr>
                <w:rFonts w:ascii="標楷體" w:eastAsia="標楷體" w:hAnsi="標楷體" w:hint="eastAsia"/>
                <w:sz w:val="32"/>
                <w:szCs w:val="32"/>
              </w:rPr>
              <w:t>和日本經濟產業省</w:t>
            </w:r>
            <w:r w:rsidRPr="00B851CE">
              <w:rPr>
                <w:rFonts w:ascii="標楷體" w:eastAsia="標楷體" w:hAnsi="標楷體"/>
                <w:sz w:val="32"/>
                <w:szCs w:val="32"/>
              </w:rPr>
              <w:t>(METI)</w:t>
            </w:r>
            <w:r w:rsidRPr="00B851CE">
              <w:rPr>
                <w:rFonts w:ascii="標楷體" w:eastAsia="標楷體" w:hAnsi="標楷體" w:hint="eastAsia"/>
                <w:sz w:val="32"/>
                <w:szCs w:val="32"/>
              </w:rPr>
              <w:t>執行，適用產品為我國「商品檢驗法」架構下的</w:t>
            </w:r>
            <w:r w:rsidRPr="00B851CE">
              <w:rPr>
                <w:rFonts w:ascii="標楷體" w:eastAsia="標楷體" w:hAnsi="標楷體"/>
                <w:sz w:val="32"/>
                <w:szCs w:val="32"/>
              </w:rPr>
              <w:t xml:space="preserve">281 </w:t>
            </w:r>
            <w:r w:rsidRPr="00B851CE">
              <w:rPr>
                <w:rFonts w:ascii="標楷體" w:eastAsia="標楷體" w:hAnsi="標楷體" w:hint="eastAsia"/>
                <w:sz w:val="32"/>
                <w:szCs w:val="32"/>
              </w:rPr>
              <w:t>項電機電子類商品，及在日本「電氣用品暨材料安全法」（簡稱「電安法」）架構下的</w:t>
            </w:r>
            <w:r w:rsidRPr="00B851CE">
              <w:rPr>
                <w:rFonts w:ascii="標楷體" w:eastAsia="標楷體" w:hAnsi="標楷體"/>
                <w:sz w:val="32"/>
                <w:szCs w:val="32"/>
              </w:rPr>
              <w:t xml:space="preserve">457 </w:t>
            </w:r>
            <w:r w:rsidRPr="00B851CE">
              <w:rPr>
                <w:rFonts w:ascii="標楷體" w:eastAsia="標楷體" w:hAnsi="標楷體" w:hint="eastAsia"/>
                <w:sz w:val="32"/>
                <w:szCs w:val="32"/>
              </w:rPr>
              <w:t>項電機電子類商品，接受彼此認可之產品驗證機構所出具驗證證書，使兩國產品相互銷售更為便利，有助拓展台日雙邊貿易。</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有關前揭合作方式與細節請參考</w:t>
            </w:r>
            <w:r w:rsidR="006F0EC6" w:rsidRPr="00B851CE">
              <w:rPr>
                <w:rFonts w:ascii="標楷體" w:eastAsia="標楷體" w:hAnsi="標楷體" w:hint="eastAsia"/>
                <w:sz w:val="32"/>
                <w:szCs w:val="32"/>
              </w:rPr>
              <w:t>經濟部標準檢驗局</w:t>
            </w:r>
            <w:r w:rsidRPr="00B851CE">
              <w:rPr>
                <w:rFonts w:ascii="標楷體" w:eastAsia="標楷體" w:hAnsi="標楷體" w:hint="eastAsia"/>
                <w:sz w:val="32"/>
                <w:szCs w:val="32"/>
              </w:rPr>
              <w:t>「商品檢驗相互承認業務服務手冊」</w:t>
            </w:r>
            <w:r w:rsidRPr="00B851CE">
              <w:rPr>
                <w:rFonts w:ascii="標楷體" w:eastAsia="標楷體" w:hAnsi="標楷體"/>
                <w:sz w:val="32"/>
                <w:szCs w:val="32"/>
              </w:rPr>
              <w:t>http://www.bsmi.gov.tw/wSite/public/Data/f1472095217467.pdf</w:t>
            </w:r>
          </w:p>
          <w:p w:rsidR="00B2365D" w:rsidRPr="00B851CE" w:rsidRDefault="00B2365D" w:rsidP="00E12F5C">
            <w:pPr>
              <w:snapToGrid w:val="0"/>
              <w:spacing w:line="460" w:lineRule="exact"/>
              <w:rPr>
                <w:rFonts w:ascii="標楷體" w:eastAsia="標楷體" w:hAnsi="標楷體"/>
                <w:sz w:val="32"/>
                <w:szCs w:val="32"/>
              </w:rPr>
            </w:pP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四、香港</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香港機電工程署</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lastRenderedPageBreak/>
              <w:t>http://www.legislation.gov.hk/blis_ind.nsf/WebView?OpenAgent&amp;vwpg=CurAllChinDoc*404*100*408.8#408.8</w:t>
            </w:r>
          </w:p>
          <w:p w:rsidR="00B2365D" w:rsidRPr="00B851CE" w:rsidRDefault="00B2365D" w:rsidP="00E12F5C">
            <w:pPr>
              <w:snapToGrid w:val="0"/>
              <w:spacing w:line="460" w:lineRule="exact"/>
              <w:rPr>
                <w:rFonts w:ascii="標楷體" w:eastAsia="標楷體" w:hAnsi="標楷體"/>
                <w:sz w:val="32"/>
                <w:szCs w:val="32"/>
              </w:rPr>
            </w:pP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五、韓國</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技術標準院</w:t>
            </w:r>
            <w:r w:rsidRPr="00B851CE">
              <w:rPr>
                <w:rFonts w:ascii="標楷體" w:eastAsia="標楷體" w:hAnsi="標楷體"/>
                <w:sz w:val="32"/>
                <w:szCs w:val="32"/>
              </w:rPr>
              <w:t xml:space="preserve"> (KATS)</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http://www.kats.go.kr/en/content.do?cmsid=410</w:t>
            </w:r>
          </w:p>
          <w:p w:rsidR="00B2365D" w:rsidRPr="00B851CE" w:rsidRDefault="00B2365D" w:rsidP="00E12F5C">
            <w:pPr>
              <w:snapToGrid w:val="0"/>
              <w:spacing w:line="460" w:lineRule="exact"/>
              <w:rPr>
                <w:rFonts w:ascii="標楷體" w:eastAsia="標楷體" w:hAnsi="標楷體"/>
                <w:sz w:val="32"/>
                <w:szCs w:val="32"/>
              </w:rPr>
            </w:pP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六、新加坡</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標準、生產力與創新局（</w:t>
            </w:r>
            <w:r w:rsidRPr="00B851CE">
              <w:rPr>
                <w:rFonts w:ascii="標楷體" w:eastAsia="標楷體" w:hAnsi="標楷體"/>
                <w:sz w:val="32"/>
                <w:szCs w:val="32"/>
              </w:rPr>
              <w:t>SPRING Singapore</w:t>
            </w:r>
            <w:r w:rsidRPr="00B851CE">
              <w:rPr>
                <w:rFonts w:ascii="標楷體" w:eastAsia="標楷體" w:hAnsi="標楷體" w:hint="eastAsia"/>
                <w:sz w:val="32"/>
                <w:szCs w:val="32"/>
              </w:rPr>
              <w:t>）</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http://www.spring.gov.sg/Building-Trust/Raising-Confidence/Consumer-Product-Safety/CPS-Scheme/Pages/cps-scheme.aspx</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備註：</w:t>
            </w:r>
          </w:p>
          <w:p w:rsidR="00B2365D" w:rsidRPr="00B851CE" w:rsidRDefault="006F0EC6"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經濟部標準檢驗局</w:t>
            </w:r>
            <w:r w:rsidR="00B2365D" w:rsidRPr="00B851CE">
              <w:rPr>
                <w:rFonts w:ascii="標楷體" w:eastAsia="標楷體" w:hAnsi="標楷體" w:hint="eastAsia"/>
                <w:sz w:val="32"/>
                <w:szCs w:val="32"/>
              </w:rPr>
              <w:t>與新加坡貿工部標準、生產力暨創新局（</w:t>
            </w:r>
            <w:r w:rsidR="00B2365D" w:rsidRPr="00B851CE">
              <w:rPr>
                <w:rFonts w:ascii="標楷體" w:eastAsia="標楷體" w:hAnsi="標楷體"/>
                <w:sz w:val="32"/>
                <w:szCs w:val="32"/>
              </w:rPr>
              <w:t>SPRING Singapore</w:t>
            </w:r>
            <w:r w:rsidR="00B2365D" w:rsidRPr="00B851CE">
              <w:rPr>
                <w:rFonts w:ascii="標楷體" w:eastAsia="標楷體" w:hAnsi="標楷體" w:hint="eastAsia"/>
                <w:sz w:val="32"/>
                <w:szCs w:val="32"/>
              </w:rPr>
              <w:t>）於</w:t>
            </w:r>
            <w:r w:rsidR="00B2365D" w:rsidRPr="00B851CE">
              <w:rPr>
                <w:rFonts w:ascii="標楷體" w:eastAsia="標楷體" w:hAnsi="標楷體"/>
                <w:sz w:val="32"/>
                <w:szCs w:val="32"/>
              </w:rPr>
              <w:t xml:space="preserve"> 94</w:t>
            </w:r>
            <w:r w:rsidR="00B2365D" w:rsidRPr="00B851CE">
              <w:rPr>
                <w:rFonts w:ascii="標楷體" w:eastAsia="標楷體" w:hAnsi="標楷體" w:hint="eastAsia"/>
                <w:sz w:val="32"/>
                <w:szCs w:val="32"/>
              </w:rPr>
              <w:t>年</w:t>
            </w:r>
            <w:r w:rsidR="00B2365D" w:rsidRPr="00B851CE">
              <w:rPr>
                <w:rFonts w:ascii="標楷體" w:eastAsia="標楷體" w:hAnsi="標楷體"/>
                <w:sz w:val="32"/>
                <w:szCs w:val="32"/>
              </w:rPr>
              <w:t xml:space="preserve"> 11 </w:t>
            </w:r>
            <w:r w:rsidR="00B2365D" w:rsidRPr="00B851CE">
              <w:rPr>
                <w:rFonts w:ascii="標楷體" w:eastAsia="標楷體" w:hAnsi="標楷體" w:hint="eastAsia"/>
                <w:sz w:val="32"/>
                <w:szCs w:val="32"/>
              </w:rPr>
              <w:t>月</w:t>
            </w:r>
            <w:r w:rsidR="00B2365D" w:rsidRPr="00B851CE">
              <w:rPr>
                <w:rFonts w:ascii="標楷體" w:eastAsia="標楷體" w:hAnsi="標楷體"/>
                <w:sz w:val="32"/>
                <w:szCs w:val="32"/>
              </w:rPr>
              <w:t xml:space="preserve"> 28 </w:t>
            </w:r>
            <w:r w:rsidR="00B2365D" w:rsidRPr="00B851CE">
              <w:rPr>
                <w:rFonts w:ascii="標楷體" w:eastAsia="標楷體" w:hAnsi="標楷體" w:hint="eastAsia"/>
                <w:sz w:val="32"/>
                <w:szCs w:val="32"/>
              </w:rPr>
              <w:t>日簽署「電氣與電子類產品之符合性評估作業相互承認協議」，並於</w:t>
            </w:r>
            <w:r w:rsidR="00B2365D" w:rsidRPr="00B851CE">
              <w:rPr>
                <w:rFonts w:ascii="標楷體" w:eastAsia="標楷體" w:hAnsi="標楷體"/>
                <w:sz w:val="32"/>
                <w:szCs w:val="32"/>
              </w:rPr>
              <w:t xml:space="preserve"> 96 </w:t>
            </w:r>
            <w:r w:rsidR="00B2365D" w:rsidRPr="00B851CE">
              <w:rPr>
                <w:rFonts w:ascii="標楷體" w:eastAsia="標楷體" w:hAnsi="標楷體" w:hint="eastAsia"/>
                <w:sz w:val="32"/>
                <w:szCs w:val="32"/>
              </w:rPr>
              <w:t>年</w:t>
            </w:r>
            <w:r w:rsidR="00B2365D" w:rsidRPr="00B851CE">
              <w:rPr>
                <w:rFonts w:ascii="標楷體" w:eastAsia="標楷體" w:hAnsi="標楷體"/>
                <w:sz w:val="32"/>
                <w:szCs w:val="32"/>
              </w:rPr>
              <w:t xml:space="preserve"> 1 </w:t>
            </w:r>
            <w:r w:rsidR="00B2365D" w:rsidRPr="00B851CE">
              <w:rPr>
                <w:rFonts w:ascii="標楷體" w:eastAsia="標楷體" w:hAnsi="標楷體" w:hint="eastAsia"/>
                <w:sz w:val="32"/>
                <w:szCs w:val="32"/>
              </w:rPr>
              <w:t>月</w:t>
            </w:r>
            <w:r w:rsidR="00B2365D" w:rsidRPr="00B851CE">
              <w:rPr>
                <w:rFonts w:ascii="標楷體" w:eastAsia="標楷體" w:hAnsi="標楷體"/>
                <w:sz w:val="32"/>
                <w:szCs w:val="32"/>
              </w:rPr>
              <w:t xml:space="preserve"> 1 </w:t>
            </w:r>
            <w:r w:rsidR="00B2365D" w:rsidRPr="00B851CE">
              <w:rPr>
                <w:rFonts w:ascii="標楷體" w:eastAsia="標楷體" w:hAnsi="標楷體" w:hint="eastAsia"/>
                <w:sz w:val="32"/>
                <w:szCs w:val="32"/>
              </w:rPr>
              <w:t>日正式生效，以協助兩國電機電子類商品出口業者降低測試及驗證成本，促進雙方貿易往來，相關合作方式與細節請參考</w:t>
            </w:r>
            <w:r w:rsidRPr="00B851CE">
              <w:rPr>
                <w:rFonts w:ascii="標楷體" w:eastAsia="標楷體" w:hAnsi="標楷體" w:hint="eastAsia"/>
                <w:sz w:val="32"/>
                <w:szCs w:val="32"/>
              </w:rPr>
              <w:t>經濟部標準檢驗局</w:t>
            </w:r>
            <w:r w:rsidR="00B2365D" w:rsidRPr="00B851CE">
              <w:rPr>
                <w:rFonts w:ascii="標楷體" w:eastAsia="標楷體" w:hAnsi="標楷體" w:hint="eastAsia"/>
                <w:sz w:val="32"/>
                <w:szCs w:val="32"/>
              </w:rPr>
              <w:t>「商品檢驗相互承認業務服務手冊」</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http://www.bsmi.gov.tw/wSite/public/Data/f1472095217467.pdf</w:t>
            </w:r>
          </w:p>
          <w:p w:rsidR="00B2365D" w:rsidRPr="00B851CE" w:rsidRDefault="00B2365D" w:rsidP="00E12F5C">
            <w:pPr>
              <w:snapToGrid w:val="0"/>
              <w:spacing w:line="460" w:lineRule="exact"/>
              <w:rPr>
                <w:rFonts w:ascii="標楷體" w:eastAsia="標楷體" w:hAnsi="標楷體"/>
                <w:sz w:val="32"/>
                <w:szCs w:val="32"/>
              </w:rPr>
            </w:pP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七、歐盟</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歐盟成長總署</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（一）電氣電子產品指令</w:t>
            </w:r>
            <w:r w:rsidRPr="00B851CE">
              <w:rPr>
                <w:rFonts w:ascii="標楷體" w:eastAsia="標楷體" w:hAnsi="標楷體"/>
                <w:sz w:val="32"/>
                <w:szCs w:val="32"/>
              </w:rPr>
              <w:t>(</w:t>
            </w:r>
            <w:r w:rsidRPr="00B851CE">
              <w:rPr>
                <w:rFonts w:ascii="標楷體" w:eastAsia="標楷體" w:hAnsi="標楷體" w:hint="eastAsia"/>
                <w:sz w:val="32"/>
                <w:szCs w:val="32"/>
              </w:rPr>
              <w:t>低電壓指令及電磁相容指令</w:t>
            </w:r>
            <w:r w:rsidRPr="00B851CE">
              <w:rPr>
                <w:rFonts w:ascii="標楷體" w:eastAsia="標楷體" w:hAnsi="標楷體"/>
                <w:sz w:val="32"/>
                <w:szCs w:val="32"/>
              </w:rPr>
              <w:t>)</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http://ec.europa.eu/growth/sectors/electrical-engineering/ec-support_en</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lastRenderedPageBreak/>
              <w:t>（二）其他工業產品</w:t>
            </w:r>
            <w:r w:rsidRPr="00B851CE">
              <w:rPr>
                <w:rFonts w:ascii="標楷體" w:eastAsia="標楷體" w:hAnsi="標楷體"/>
                <w:sz w:val="32"/>
                <w:szCs w:val="32"/>
              </w:rPr>
              <w:t xml:space="preserve">CE </w:t>
            </w:r>
            <w:r w:rsidRPr="00B851CE">
              <w:rPr>
                <w:rFonts w:ascii="標楷體" w:eastAsia="標楷體" w:hAnsi="標楷體" w:hint="eastAsia"/>
                <w:sz w:val="32"/>
                <w:szCs w:val="32"/>
              </w:rPr>
              <w:t>標示指令</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http://www.newapproach.org/Directives/Default.asp</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（三）出口歐盟相關法規資料庫</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http://exporthelp.europa.eu/thdapp/index.htm</w:t>
            </w:r>
          </w:p>
          <w:p w:rsidR="00B2365D" w:rsidRPr="00B851CE" w:rsidRDefault="00B2365D" w:rsidP="00E12F5C">
            <w:pPr>
              <w:snapToGrid w:val="0"/>
              <w:spacing w:line="460" w:lineRule="exact"/>
              <w:rPr>
                <w:rFonts w:ascii="標楷體" w:eastAsia="標楷體" w:hAnsi="標楷體"/>
                <w:sz w:val="32"/>
                <w:szCs w:val="32"/>
              </w:rPr>
            </w:pP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八、馬來西亞</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能源委員會</w:t>
            </w:r>
            <w:r w:rsidRPr="00B851CE">
              <w:rPr>
                <w:rFonts w:ascii="標楷體" w:eastAsia="標楷體" w:hAnsi="標楷體"/>
                <w:sz w:val="32"/>
                <w:szCs w:val="32"/>
              </w:rPr>
              <w:t>(Energy Commission)</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http://www.st.gov.my/index.php/en/industry/list-of-34-regulated-equipment.html</w:t>
            </w:r>
          </w:p>
          <w:p w:rsidR="00B2365D" w:rsidRPr="00B851CE" w:rsidRDefault="00B2365D" w:rsidP="00E12F5C">
            <w:pPr>
              <w:snapToGrid w:val="0"/>
              <w:spacing w:line="460" w:lineRule="exact"/>
              <w:rPr>
                <w:rFonts w:ascii="標楷體" w:eastAsia="標楷體" w:hAnsi="標楷體"/>
                <w:sz w:val="32"/>
                <w:szCs w:val="32"/>
              </w:rPr>
            </w:pP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九、越南</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越南科技部標準品質暨度量衡總局</w:t>
            </w:r>
            <w:r w:rsidRPr="00B851CE">
              <w:rPr>
                <w:rFonts w:ascii="標楷體" w:eastAsia="標楷體" w:hAnsi="標楷體"/>
                <w:sz w:val="32"/>
                <w:szCs w:val="32"/>
              </w:rPr>
              <w:t>(STAMEQ)</w:t>
            </w:r>
            <w:r w:rsidRPr="00B851CE">
              <w:rPr>
                <w:rFonts w:ascii="標楷體" w:eastAsia="標楷體" w:hAnsi="標楷體" w:hint="eastAsia"/>
                <w:sz w:val="32"/>
                <w:szCs w:val="32"/>
              </w:rPr>
              <w:t>所轄越南驗證中心</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(QUACERT)</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http://quacert.gov.vn/en/electrical-and-electronic-appliances.nd312/mandatory-certification-for-electrical-and-electronic-appliances.i335.html</w:t>
            </w:r>
          </w:p>
          <w:p w:rsidR="00B2365D" w:rsidRPr="00B851CE" w:rsidRDefault="00B2365D" w:rsidP="00E12F5C">
            <w:pPr>
              <w:snapToGrid w:val="0"/>
              <w:spacing w:line="460" w:lineRule="exact"/>
              <w:rPr>
                <w:rFonts w:ascii="標楷體" w:eastAsia="標楷體" w:hAnsi="標楷體"/>
                <w:sz w:val="32"/>
                <w:szCs w:val="32"/>
              </w:rPr>
            </w:pP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十、泰國</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泰國工業部工業標準研究院</w:t>
            </w:r>
            <w:r w:rsidRPr="00B851CE">
              <w:rPr>
                <w:rFonts w:ascii="標楷體" w:eastAsia="標楷體" w:hAnsi="標楷體"/>
                <w:sz w:val="32"/>
                <w:szCs w:val="32"/>
              </w:rPr>
              <w:t>(TISI)</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http://app.tisi.go.th</w:t>
            </w:r>
          </w:p>
          <w:p w:rsidR="00B2365D" w:rsidRPr="00B851CE" w:rsidRDefault="00B2365D" w:rsidP="00E12F5C">
            <w:pPr>
              <w:snapToGrid w:val="0"/>
              <w:spacing w:line="460" w:lineRule="exact"/>
              <w:rPr>
                <w:rFonts w:ascii="標楷體" w:eastAsia="標楷體" w:hAnsi="標楷體"/>
                <w:sz w:val="32"/>
                <w:szCs w:val="32"/>
              </w:rPr>
            </w:pP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十一、其他可供參考網站</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APEC EEMRA</w:t>
            </w:r>
          </w:p>
          <w:p w:rsidR="00B2365D"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亞太經濟合作組織標準及符合性次級委員會（</w:t>
            </w:r>
            <w:r w:rsidRPr="00B851CE">
              <w:rPr>
                <w:rFonts w:ascii="標楷體" w:eastAsia="標楷體" w:hAnsi="標楷體"/>
                <w:sz w:val="32"/>
                <w:szCs w:val="32"/>
              </w:rPr>
              <w:t>Sub-committee on</w:t>
            </w:r>
            <w:r w:rsidR="006F0EC6" w:rsidRPr="00B851CE">
              <w:rPr>
                <w:rFonts w:ascii="標楷體" w:eastAsia="標楷體" w:hAnsi="標楷體" w:hint="eastAsia"/>
                <w:sz w:val="32"/>
                <w:szCs w:val="32"/>
              </w:rPr>
              <w:t xml:space="preserve"> </w:t>
            </w:r>
            <w:r w:rsidRPr="00B851CE">
              <w:rPr>
                <w:rFonts w:ascii="標楷體" w:eastAsia="標楷體" w:hAnsi="標楷體"/>
                <w:sz w:val="32"/>
                <w:szCs w:val="32"/>
              </w:rPr>
              <w:t>Standards and Conformance</w:t>
            </w:r>
            <w:r w:rsidRPr="00B851CE">
              <w:rPr>
                <w:rFonts w:ascii="標楷體" w:eastAsia="標楷體" w:hAnsi="標楷體" w:hint="eastAsia"/>
                <w:sz w:val="32"/>
                <w:szCs w:val="32"/>
              </w:rPr>
              <w:t>）推動亞太地區電機電子產品相互承認協議，該協議分為</w:t>
            </w:r>
            <w:proofErr w:type="gramStart"/>
            <w:r w:rsidRPr="00B851CE">
              <w:rPr>
                <w:rFonts w:ascii="標楷體" w:eastAsia="標楷體" w:hAnsi="標楷體" w:hint="eastAsia"/>
                <w:sz w:val="32"/>
                <w:szCs w:val="32"/>
              </w:rPr>
              <w:t>三</w:t>
            </w:r>
            <w:proofErr w:type="gramEnd"/>
            <w:r w:rsidRPr="00B851CE">
              <w:rPr>
                <w:rFonts w:ascii="標楷體" w:eastAsia="標楷體" w:hAnsi="標楷體" w:hint="eastAsia"/>
                <w:sz w:val="32"/>
                <w:szCs w:val="32"/>
              </w:rPr>
              <w:t>階段，第一階段為資訊交換，由會員經濟體提交</w:t>
            </w:r>
            <w:r w:rsidRPr="00B851CE">
              <w:rPr>
                <w:rFonts w:ascii="標楷體" w:eastAsia="標楷體" w:hAnsi="標楷體" w:hint="eastAsia"/>
                <w:sz w:val="32"/>
                <w:szCs w:val="32"/>
              </w:rPr>
              <w:lastRenderedPageBreak/>
              <w:t>各自管轄的電機電子產品法規及符合性評鑑程序，第二階段為相互承認測試報告，第三階段為相互承認驗證證書。</w:t>
            </w:r>
          </w:p>
          <w:p w:rsidR="006E3279" w:rsidRPr="00B851CE" w:rsidRDefault="00B2365D" w:rsidP="00E12F5C">
            <w:pPr>
              <w:snapToGrid w:val="0"/>
              <w:spacing w:line="460" w:lineRule="exact"/>
              <w:rPr>
                <w:rFonts w:ascii="標楷體" w:eastAsia="標楷體" w:hAnsi="標楷體"/>
                <w:sz w:val="32"/>
                <w:szCs w:val="32"/>
              </w:rPr>
            </w:pPr>
            <w:r w:rsidRPr="00B851CE">
              <w:rPr>
                <w:rFonts w:ascii="標楷體" w:eastAsia="標楷體" w:hAnsi="標楷體"/>
                <w:sz w:val="32"/>
                <w:szCs w:val="32"/>
              </w:rPr>
              <w:t>http://www.apec.org/Home/Groups/Committee-on-Trade-and-Investment/Sub-Committee-on-Standards-and-Conformance</w:t>
            </w:r>
          </w:p>
        </w:tc>
        <w:tc>
          <w:tcPr>
            <w:tcW w:w="885" w:type="dxa"/>
          </w:tcPr>
          <w:p w:rsidR="006E3279" w:rsidRPr="00B851CE" w:rsidRDefault="00B851CE"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lastRenderedPageBreak/>
              <w:t>經濟部標準檢驗局提供</w:t>
            </w:r>
          </w:p>
        </w:tc>
      </w:tr>
      <w:tr w:rsidR="00886A39" w:rsidRPr="00B851CE" w:rsidTr="006F0EC6">
        <w:tc>
          <w:tcPr>
            <w:tcW w:w="1384" w:type="dxa"/>
          </w:tcPr>
          <w:p w:rsidR="00886A39" w:rsidRPr="00B851CE" w:rsidRDefault="00886A39"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lastRenderedPageBreak/>
              <w:t>動植物防疫檢疫</w:t>
            </w:r>
          </w:p>
        </w:tc>
        <w:tc>
          <w:tcPr>
            <w:tcW w:w="7513" w:type="dxa"/>
          </w:tcPr>
          <w:p w:rsidR="00886A39" w:rsidRPr="00B851CE" w:rsidRDefault="00886A39"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行政院農業委員會動植物防疫檢疫局建置「對外貿易植物檢疫查詢系統」</w:t>
            </w:r>
          </w:p>
          <w:p w:rsidR="00886A39" w:rsidRPr="00B851CE" w:rsidRDefault="00886A39" w:rsidP="00E12F5C">
            <w:pPr>
              <w:snapToGrid w:val="0"/>
              <w:spacing w:line="460" w:lineRule="exact"/>
              <w:rPr>
                <w:rFonts w:ascii="標楷體" w:eastAsia="標楷體" w:hAnsi="標楷體"/>
                <w:sz w:val="32"/>
                <w:szCs w:val="32"/>
              </w:rPr>
            </w:pPr>
            <w:proofErr w:type="gramStart"/>
            <w:r w:rsidRPr="00B851CE">
              <w:rPr>
                <w:rFonts w:ascii="標楷體" w:eastAsia="標楷體" w:hAnsi="標楷體" w:hint="eastAsia"/>
                <w:sz w:val="32"/>
                <w:szCs w:val="32"/>
              </w:rPr>
              <w:t>（</w:t>
            </w:r>
            <w:proofErr w:type="gramEnd"/>
            <w:r w:rsidRPr="00B851CE">
              <w:rPr>
                <w:rFonts w:ascii="標楷體" w:eastAsia="標楷體" w:hAnsi="標楷體" w:hint="eastAsia"/>
                <w:sz w:val="32"/>
                <w:szCs w:val="32"/>
              </w:rPr>
              <w:t xml:space="preserve"> http://192.192.148.121/coa/hotnews_idx.php</w:t>
            </w:r>
            <w:proofErr w:type="gramStart"/>
            <w:r w:rsidRPr="00B851CE">
              <w:rPr>
                <w:rFonts w:ascii="標楷體" w:eastAsia="標楷體" w:hAnsi="標楷體" w:hint="eastAsia"/>
                <w:sz w:val="32"/>
                <w:szCs w:val="32"/>
              </w:rPr>
              <w:t>）</w:t>
            </w:r>
            <w:proofErr w:type="gramEnd"/>
            <w:r w:rsidRPr="00B851CE">
              <w:rPr>
                <w:rFonts w:ascii="標楷體" w:eastAsia="標楷體" w:hAnsi="標楷體" w:hint="eastAsia"/>
                <w:sz w:val="32"/>
                <w:szCs w:val="32"/>
              </w:rPr>
              <w:t>，亦蒐集各國動、植物及其產品邊境檢疫相關規定，置於</w:t>
            </w:r>
            <w:r w:rsidR="002F5EF5" w:rsidRPr="00B851CE">
              <w:rPr>
                <w:rFonts w:ascii="標楷體" w:eastAsia="標楷體" w:hAnsi="標楷體" w:hint="eastAsia"/>
                <w:sz w:val="32"/>
                <w:szCs w:val="32"/>
              </w:rPr>
              <w:t>動植物防疫檢疫局</w:t>
            </w:r>
            <w:proofErr w:type="gramStart"/>
            <w:r w:rsidRPr="00B851CE">
              <w:rPr>
                <w:rFonts w:ascii="標楷體" w:eastAsia="標楷體" w:hAnsi="標楷體" w:hint="eastAsia"/>
                <w:sz w:val="32"/>
                <w:szCs w:val="32"/>
              </w:rPr>
              <w:t>局</w:t>
            </w:r>
            <w:proofErr w:type="gramEnd"/>
            <w:r w:rsidRPr="00B851CE">
              <w:rPr>
                <w:rFonts w:ascii="標楷體" w:eastAsia="標楷體" w:hAnsi="標楷體" w:hint="eastAsia"/>
                <w:sz w:val="32"/>
                <w:szCs w:val="32"/>
              </w:rPr>
              <w:t>網及各分局網站供民眾或業者查詢。</w:t>
            </w:r>
          </w:p>
        </w:tc>
        <w:tc>
          <w:tcPr>
            <w:tcW w:w="885" w:type="dxa"/>
          </w:tcPr>
          <w:p w:rsidR="00886A39" w:rsidRPr="00B851CE" w:rsidRDefault="00B851CE"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行政院農業委員會動植物防疫檢疫局提供</w:t>
            </w:r>
          </w:p>
        </w:tc>
      </w:tr>
      <w:tr w:rsidR="008402C9" w:rsidRPr="00B851CE" w:rsidTr="006F0EC6">
        <w:tc>
          <w:tcPr>
            <w:tcW w:w="1384" w:type="dxa"/>
          </w:tcPr>
          <w:p w:rsidR="008402C9" w:rsidRPr="00B851CE" w:rsidRDefault="008402C9"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t>FDA(食品美妝保健食品)相關檢疫與認證資訊</w:t>
            </w:r>
          </w:p>
        </w:tc>
        <w:tc>
          <w:tcPr>
            <w:tcW w:w="7513" w:type="dxa"/>
          </w:tcPr>
          <w:p w:rsidR="008402C9" w:rsidRPr="00B851CE" w:rsidRDefault="008402C9" w:rsidP="00E12F5C">
            <w:pPr>
              <w:snapToGrid w:val="0"/>
              <w:spacing w:line="460" w:lineRule="exact"/>
              <w:rPr>
                <w:rFonts w:ascii="標楷體" w:eastAsia="標楷體" w:hAnsi="標楷體" w:cs="Times New Roman"/>
                <w:sz w:val="32"/>
                <w:szCs w:val="32"/>
              </w:rPr>
            </w:pPr>
            <w:r w:rsidRPr="00B851CE">
              <w:rPr>
                <w:rFonts w:ascii="標楷體" w:eastAsia="標楷體" w:hAnsi="標楷體" w:cs="Times New Roman" w:hint="eastAsia"/>
                <w:sz w:val="32"/>
                <w:szCs w:val="32"/>
              </w:rPr>
              <w:t>泰國：</w:t>
            </w:r>
          </w:p>
          <w:p w:rsidR="008402C9" w:rsidRPr="00B851CE" w:rsidRDefault="008402C9" w:rsidP="00E12F5C">
            <w:pPr>
              <w:snapToGrid w:val="0"/>
              <w:spacing w:line="460" w:lineRule="exact"/>
              <w:ind w:leftChars="200" w:left="480"/>
              <w:rPr>
                <w:rFonts w:ascii="標楷體" w:eastAsia="標楷體" w:hAnsi="標楷體" w:cs="Times New Roman"/>
                <w:sz w:val="32"/>
                <w:szCs w:val="32"/>
              </w:rPr>
            </w:pPr>
            <w:r w:rsidRPr="00B851CE">
              <w:rPr>
                <w:rFonts w:ascii="標楷體" w:eastAsia="標楷體" w:hAnsi="標楷體" w:cs="Times New Roman" w:hint="eastAsia"/>
                <w:sz w:val="32"/>
                <w:szCs w:val="32"/>
              </w:rPr>
              <w:t>衛生部 (</w:t>
            </w:r>
            <w:r w:rsidRPr="00B851CE">
              <w:rPr>
                <w:rFonts w:ascii="標楷體" w:eastAsia="標楷體" w:hAnsi="標楷體" w:cs="Times New Roman"/>
                <w:sz w:val="32"/>
                <w:szCs w:val="32"/>
              </w:rPr>
              <w:t>Ministry of Public Health</w:t>
            </w:r>
            <w:r w:rsidRPr="00B851CE">
              <w:rPr>
                <w:rFonts w:ascii="標楷體" w:eastAsia="標楷體" w:hAnsi="標楷體" w:cs="Times New Roman" w:hint="eastAsia"/>
                <w:sz w:val="32"/>
                <w:szCs w:val="32"/>
              </w:rPr>
              <w:t>)</w:t>
            </w:r>
          </w:p>
          <w:p w:rsidR="008402C9" w:rsidRPr="00B851CE" w:rsidRDefault="00023917" w:rsidP="00E12F5C">
            <w:pPr>
              <w:snapToGrid w:val="0"/>
              <w:spacing w:line="460" w:lineRule="exact"/>
              <w:ind w:leftChars="400" w:left="960"/>
              <w:rPr>
                <w:rFonts w:ascii="標楷體" w:eastAsia="標楷體" w:hAnsi="標楷體" w:cs="Times New Roman"/>
                <w:sz w:val="32"/>
                <w:szCs w:val="32"/>
              </w:rPr>
            </w:pPr>
            <w:hyperlink r:id="rId10" w:history="1">
              <w:r w:rsidR="008402C9" w:rsidRPr="00B851CE">
                <w:rPr>
                  <w:rFonts w:ascii="標楷體" w:eastAsia="標楷體" w:hAnsi="標楷體" w:cs="Times New Roman"/>
                  <w:color w:val="0563C1"/>
                  <w:sz w:val="32"/>
                  <w:szCs w:val="32"/>
                  <w:u w:val="single"/>
                </w:rPr>
                <w:t>http://eng.moph.go.th/</w:t>
              </w:r>
            </w:hyperlink>
          </w:p>
          <w:p w:rsidR="008402C9" w:rsidRPr="00B851CE" w:rsidRDefault="008402C9" w:rsidP="00E12F5C">
            <w:pPr>
              <w:snapToGrid w:val="0"/>
              <w:spacing w:line="460" w:lineRule="exact"/>
              <w:ind w:leftChars="200" w:left="480"/>
              <w:rPr>
                <w:rFonts w:ascii="標楷體" w:eastAsia="標楷體" w:hAnsi="標楷體" w:cs="Times New Roman"/>
                <w:sz w:val="32"/>
                <w:szCs w:val="32"/>
              </w:rPr>
            </w:pPr>
            <w:r w:rsidRPr="00B851CE">
              <w:rPr>
                <w:rFonts w:ascii="標楷體" w:eastAsia="標楷體" w:hAnsi="標楷體" w:cs="Times New Roman" w:hint="eastAsia"/>
                <w:sz w:val="32"/>
                <w:szCs w:val="32"/>
              </w:rPr>
              <w:t>食品和藥物管理局 (F</w:t>
            </w:r>
            <w:r w:rsidRPr="00B851CE">
              <w:rPr>
                <w:rFonts w:ascii="標楷體" w:eastAsia="標楷體" w:hAnsi="標楷體" w:cs="Times New Roman"/>
                <w:sz w:val="32"/>
                <w:szCs w:val="32"/>
              </w:rPr>
              <w:t>ood and Drug Administration</w:t>
            </w:r>
            <w:r w:rsidRPr="00B851CE">
              <w:rPr>
                <w:rFonts w:ascii="標楷體" w:eastAsia="標楷體" w:hAnsi="標楷體" w:cs="Times New Roman" w:hint="eastAsia"/>
                <w:sz w:val="32"/>
                <w:szCs w:val="32"/>
              </w:rPr>
              <w:t xml:space="preserve">) </w:t>
            </w:r>
          </w:p>
          <w:p w:rsidR="008402C9" w:rsidRPr="00B851CE" w:rsidRDefault="00023917" w:rsidP="00E12F5C">
            <w:pPr>
              <w:snapToGrid w:val="0"/>
              <w:spacing w:line="460" w:lineRule="exact"/>
              <w:ind w:leftChars="400" w:left="960"/>
              <w:rPr>
                <w:rFonts w:ascii="標楷體" w:eastAsia="標楷體" w:hAnsi="標楷體" w:cs="Times New Roman"/>
                <w:sz w:val="32"/>
                <w:szCs w:val="32"/>
              </w:rPr>
            </w:pPr>
            <w:hyperlink r:id="rId11" w:history="1">
              <w:r w:rsidR="008402C9" w:rsidRPr="00B851CE">
                <w:rPr>
                  <w:rFonts w:ascii="標楷體" w:eastAsia="標楷體" w:hAnsi="標楷體" w:cs="Times New Roman"/>
                  <w:color w:val="0563C1"/>
                  <w:sz w:val="32"/>
                  <w:szCs w:val="32"/>
                  <w:u w:val="single"/>
                </w:rPr>
                <w:t>http://www.fda.moph.go.th/eng/index.stm</w:t>
              </w:r>
            </w:hyperlink>
          </w:p>
          <w:p w:rsidR="008402C9" w:rsidRPr="00B851CE" w:rsidRDefault="008402C9" w:rsidP="00E12F5C">
            <w:pPr>
              <w:snapToGrid w:val="0"/>
              <w:spacing w:line="460" w:lineRule="exact"/>
              <w:rPr>
                <w:rFonts w:ascii="標楷體" w:eastAsia="標楷體" w:hAnsi="標楷體" w:cs="Times New Roman"/>
                <w:sz w:val="32"/>
                <w:szCs w:val="32"/>
              </w:rPr>
            </w:pPr>
          </w:p>
          <w:p w:rsidR="008402C9" w:rsidRPr="00B851CE" w:rsidRDefault="008402C9" w:rsidP="00E12F5C">
            <w:pPr>
              <w:snapToGrid w:val="0"/>
              <w:spacing w:line="460" w:lineRule="exact"/>
              <w:rPr>
                <w:rFonts w:ascii="標楷體" w:eastAsia="標楷體" w:hAnsi="標楷體" w:cs="Times New Roman"/>
                <w:sz w:val="32"/>
                <w:szCs w:val="32"/>
              </w:rPr>
            </w:pPr>
            <w:r w:rsidRPr="00B851CE">
              <w:rPr>
                <w:rFonts w:ascii="標楷體" w:eastAsia="標楷體" w:hAnsi="標楷體" w:cs="Times New Roman" w:hint="eastAsia"/>
                <w:sz w:val="32"/>
                <w:szCs w:val="32"/>
              </w:rPr>
              <w:t>馬來西亞：</w:t>
            </w:r>
          </w:p>
          <w:p w:rsidR="008402C9" w:rsidRPr="00B851CE" w:rsidRDefault="008402C9" w:rsidP="00E12F5C">
            <w:pPr>
              <w:snapToGrid w:val="0"/>
              <w:spacing w:line="460" w:lineRule="exact"/>
              <w:ind w:leftChars="200" w:left="480"/>
              <w:rPr>
                <w:rFonts w:ascii="標楷體" w:eastAsia="標楷體" w:hAnsi="標楷體" w:cs="Times New Roman"/>
                <w:sz w:val="32"/>
                <w:szCs w:val="32"/>
              </w:rPr>
            </w:pPr>
            <w:r w:rsidRPr="00B851CE">
              <w:rPr>
                <w:rFonts w:ascii="標楷體" w:eastAsia="標楷體" w:hAnsi="標楷體" w:cs="Times New Roman" w:hint="eastAsia"/>
                <w:sz w:val="32"/>
                <w:szCs w:val="32"/>
              </w:rPr>
              <w:t>衛生部 (</w:t>
            </w:r>
            <w:r w:rsidRPr="00B851CE">
              <w:rPr>
                <w:rFonts w:ascii="標楷體" w:eastAsia="標楷體" w:hAnsi="標楷體" w:cs="Times New Roman"/>
                <w:sz w:val="32"/>
                <w:szCs w:val="32"/>
              </w:rPr>
              <w:t>Ministry of Health</w:t>
            </w:r>
            <w:r w:rsidRPr="00B851CE">
              <w:rPr>
                <w:rFonts w:ascii="標楷體" w:eastAsia="標楷體" w:hAnsi="標楷體" w:cs="Times New Roman" w:hint="eastAsia"/>
                <w:sz w:val="32"/>
                <w:szCs w:val="32"/>
              </w:rPr>
              <w:t xml:space="preserve"> </w:t>
            </w:r>
            <w:r w:rsidRPr="00B851CE">
              <w:rPr>
                <w:rFonts w:ascii="標楷體" w:eastAsia="標楷體" w:hAnsi="標楷體" w:cs="Times New Roman"/>
                <w:sz w:val="32"/>
                <w:szCs w:val="32"/>
              </w:rPr>
              <w:t>Malaysia</w:t>
            </w:r>
            <w:r w:rsidRPr="00B851CE">
              <w:rPr>
                <w:rFonts w:ascii="標楷體" w:eastAsia="標楷體" w:hAnsi="標楷體" w:cs="Times New Roman" w:hint="eastAsia"/>
                <w:sz w:val="32"/>
                <w:szCs w:val="32"/>
              </w:rPr>
              <w:t>)</w:t>
            </w:r>
          </w:p>
          <w:p w:rsidR="008402C9" w:rsidRPr="00B851CE" w:rsidRDefault="00023917" w:rsidP="00E12F5C">
            <w:pPr>
              <w:snapToGrid w:val="0"/>
              <w:spacing w:line="460" w:lineRule="exact"/>
              <w:ind w:leftChars="400" w:left="960"/>
              <w:rPr>
                <w:rFonts w:ascii="標楷體" w:eastAsia="標楷體" w:hAnsi="標楷體" w:cs="Times New Roman"/>
                <w:sz w:val="32"/>
                <w:szCs w:val="32"/>
              </w:rPr>
            </w:pPr>
            <w:hyperlink r:id="rId12" w:history="1">
              <w:r w:rsidR="008402C9" w:rsidRPr="00B851CE">
                <w:rPr>
                  <w:rFonts w:ascii="標楷體" w:eastAsia="標楷體" w:hAnsi="標楷體" w:cs="Times New Roman"/>
                  <w:color w:val="0563C1"/>
                  <w:sz w:val="32"/>
                  <w:szCs w:val="32"/>
                  <w:u w:val="single"/>
                </w:rPr>
                <w:t>http://www.moh.gov.my/english.php</w:t>
              </w:r>
            </w:hyperlink>
          </w:p>
          <w:p w:rsidR="008402C9" w:rsidRPr="00B851CE" w:rsidRDefault="008402C9" w:rsidP="00E12F5C">
            <w:pPr>
              <w:snapToGrid w:val="0"/>
              <w:spacing w:line="460" w:lineRule="exact"/>
              <w:ind w:leftChars="200" w:left="480"/>
              <w:rPr>
                <w:rFonts w:ascii="標楷體" w:eastAsia="標楷體" w:hAnsi="標楷體" w:cs="Times New Roman"/>
                <w:sz w:val="32"/>
                <w:szCs w:val="32"/>
              </w:rPr>
            </w:pPr>
            <w:r w:rsidRPr="00B851CE">
              <w:rPr>
                <w:rFonts w:ascii="標楷體" w:eastAsia="標楷體" w:hAnsi="標楷體" w:cs="Times New Roman" w:hint="eastAsia"/>
                <w:sz w:val="32"/>
                <w:szCs w:val="32"/>
              </w:rPr>
              <w:t>食品安全與質量司 (</w:t>
            </w:r>
            <w:r w:rsidRPr="00B851CE">
              <w:rPr>
                <w:rFonts w:ascii="標楷體" w:eastAsia="標楷體" w:hAnsi="標楷體" w:cs="Times New Roman"/>
                <w:sz w:val="32"/>
                <w:szCs w:val="32"/>
              </w:rPr>
              <w:t>Food Safety &amp; Quality Division</w:t>
            </w:r>
            <w:r w:rsidRPr="00B851CE">
              <w:rPr>
                <w:rFonts w:ascii="標楷體" w:eastAsia="標楷體" w:hAnsi="標楷體" w:cs="Times New Roman" w:hint="eastAsia"/>
                <w:sz w:val="32"/>
                <w:szCs w:val="32"/>
              </w:rPr>
              <w:t>,</w:t>
            </w:r>
            <w:r w:rsidRPr="00B851CE">
              <w:rPr>
                <w:rFonts w:ascii="標楷體" w:eastAsia="標楷體" w:hAnsi="標楷體" w:cs="Times New Roman"/>
                <w:sz w:val="32"/>
                <w:szCs w:val="32"/>
              </w:rPr>
              <w:t xml:space="preserve"> Department of Public Health, Ministry of Health Malaysia)</w:t>
            </w:r>
          </w:p>
          <w:p w:rsidR="008402C9" w:rsidRPr="00B851CE" w:rsidRDefault="00023917" w:rsidP="00E12F5C">
            <w:pPr>
              <w:snapToGrid w:val="0"/>
              <w:spacing w:line="460" w:lineRule="exact"/>
              <w:ind w:leftChars="400" w:left="960"/>
              <w:rPr>
                <w:rFonts w:ascii="標楷體" w:eastAsia="標楷體" w:hAnsi="標楷體" w:cs="Times New Roman"/>
                <w:sz w:val="32"/>
                <w:szCs w:val="32"/>
              </w:rPr>
            </w:pPr>
            <w:hyperlink r:id="rId13" w:history="1">
              <w:r w:rsidR="008402C9" w:rsidRPr="00B851CE">
                <w:rPr>
                  <w:rFonts w:ascii="標楷體" w:eastAsia="標楷體" w:hAnsi="標楷體" w:cs="Times New Roman"/>
                  <w:color w:val="0563C1"/>
                  <w:sz w:val="32"/>
                  <w:szCs w:val="32"/>
                  <w:u w:val="single"/>
                </w:rPr>
                <w:t>http://fsis2.moh.gov.my/fosimv2/HOM/frmHOMPage.aspx</w:t>
              </w:r>
            </w:hyperlink>
          </w:p>
          <w:p w:rsidR="008402C9" w:rsidRPr="00B851CE" w:rsidRDefault="008402C9" w:rsidP="00E12F5C">
            <w:pPr>
              <w:snapToGrid w:val="0"/>
              <w:spacing w:line="460" w:lineRule="exact"/>
              <w:ind w:leftChars="200" w:left="480"/>
              <w:rPr>
                <w:rFonts w:ascii="標楷體" w:eastAsia="標楷體" w:hAnsi="標楷體" w:cs="Times New Roman"/>
                <w:sz w:val="32"/>
                <w:szCs w:val="32"/>
              </w:rPr>
            </w:pPr>
            <w:r w:rsidRPr="00B851CE">
              <w:rPr>
                <w:rFonts w:ascii="標楷體" w:eastAsia="標楷體" w:hAnsi="標楷體" w:cs="Times New Roman" w:hint="eastAsia"/>
                <w:sz w:val="32"/>
                <w:szCs w:val="32"/>
              </w:rPr>
              <w:lastRenderedPageBreak/>
              <w:t>國家藥品監管機構 (</w:t>
            </w:r>
            <w:r w:rsidRPr="00B851CE">
              <w:rPr>
                <w:rFonts w:ascii="標楷體" w:eastAsia="標楷體" w:hAnsi="標楷體" w:cs="Times New Roman"/>
                <w:sz w:val="32"/>
                <w:szCs w:val="32"/>
              </w:rPr>
              <w:t>National Pharmaceutical Regulatory Agency (NPRA))</w:t>
            </w:r>
          </w:p>
          <w:p w:rsidR="008402C9" w:rsidRPr="00B851CE" w:rsidRDefault="00023917" w:rsidP="00E12F5C">
            <w:pPr>
              <w:snapToGrid w:val="0"/>
              <w:spacing w:line="460" w:lineRule="exact"/>
              <w:ind w:leftChars="400" w:left="960"/>
              <w:rPr>
                <w:rFonts w:ascii="標楷體" w:eastAsia="標楷體" w:hAnsi="標楷體" w:cs="Times New Roman"/>
                <w:sz w:val="32"/>
                <w:szCs w:val="32"/>
              </w:rPr>
            </w:pPr>
            <w:hyperlink r:id="rId14" w:history="1">
              <w:r w:rsidR="008402C9" w:rsidRPr="00B851CE">
                <w:rPr>
                  <w:rFonts w:ascii="標楷體" w:eastAsia="標楷體" w:hAnsi="標楷體" w:cs="Times New Roman"/>
                  <w:color w:val="0563C1"/>
                  <w:sz w:val="32"/>
                  <w:szCs w:val="32"/>
                  <w:u w:val="single"/>
                </w:rPr>
                <w:t>http://npra.moh.gov.my/</w:t>
              </w:r>
            </w:hyperlink>
          </w:p>
          <w:p w:rsidR="008402C9" w:rsidRPr="00B851CE" w:rsidRDefault="008402C9" w:rsidP="00E12F5C">
            <w:pPr>
              <w:snapToGrid w:val="0"/>
              <w:spacing w:line="460" w:lineRule="exact"/>
              <w:rPr>
                <w:rFonts w:ascii="標楷體" w:eastAsia="標楷體" w:hAnsi="標楷體" w:cs="Times New Roman"/>
                <w:sz w:val="32"/>
                <w:szCs w:val="32"/>
              </w:rPr>
            </w:pPr>
          </w:p>
          <w:p w:rsidR="008402C9" w:rsidRPr="00B851CE" w:rsidRDefault="008402C9" w:rsidP="00E12F5C">
            <w:pPr>
              <w:snapToGrid w:val="0"/>
              <w:spacing w:line="460" w:lineRule="exact"/>
              <w:rPr>
                <w:rFonts w:ascii="標楷體" w:eastAsia="標楷體" w:hAnsi="標楷體" w:cs="Times New Roman"/>
                <w:sz w:val="32"/>
                <w:szCs w:val="32"/>
              </w:rPr>
            </w:pPr>
            <w:r w:rsidRPr="00B851CE">
              <w:rPr>
                <w:rFonts w:ascii="標楷體" w:eastAsia="標楷體" w:hAnsi="標楷體" w:cs="Times New Roman" w:hint="eastAsia"/>
                <w:sz w:val="32"/>
                <w:szCs w:val="32"/>
              </w:rPr>
              <w:t>印尼：</w:t>
            </w:r>
          </w:p>
          <w:p w:rsidR="008402C9" w:rsidRPr="00B851CE" w:rsidRDefault="008402C9" w:rsidP="00E12F5C">
            <w:pPr>
              <w:snapToGrid w:val="0"/>
              <w:spacing w:line="460" w:lineRule="exact"/>
              <w:ind w:leftChars="200" w:left="480"/>
              <w:rPr>
                <w:rFonts w:ascii="標楷體" w:eastAsia="標楷體" w:hAnsi="標楷體" w:cs="Times New Roman"/>
                <w:sz w:val="32"/>
                <w:szCs w:val="32"/>
              </w:rPr>
            </w:pPr>
            <w:r w:rsidRPr="00B851CE">
              <w:rPr>
                <w:rFonts w:ascii="標楷體" w:eastAsia="標楷體" w:hAnsi="標楷體" w:cs="Times New Roman" w:hint="eastAsia"/>
                <w:sz w:val="32"/>
                <w:szCs w:val="32"/>
              </w:rPr>
              <w:t>衛生部 (Mi</w:t>
            </w:r>
            <w:r w:rsidRPr="00B851CE">
              <w:rPr>
                <w:rFonts w:ascii="標楷體" w:eastAsia="標楷體" w:hAnsi="標楷體" w:cs="Times New Roman"/>
                <w:sz w:val="32"/>
                <w:szCs w:val="32"/>
              </w:rPr>
              <w:t>nistry of Health of Republic of Indonesia)</w:t>
            </w:r>
          </w:p>
          <w:p w:rsidR="008402C9" w:rsidRPr="00B851CE" w:rsidRDefault="00023917" w:rsidP="00E12F5C">
            <w:pPr>
              <w:snapToGrid w:val="0"/>
              <w:spacing w:line="460" w:lineRule="exact"/>
              <w:ind w:leftChars="400" w:left="960"/>
              <w:rPr>
                <w:rFonts w:ascii="標楷體" w:eastAsia="標楷體" w:hAnsi="標楷體" w:cs="Times New Roman"/>
                <w:sz w:val="32"/>
                <w:szCs w:val="32"/>
              </w:rPr>
            </w:pPr>
            <w:hyperlink r:id="rId15" w:history="1">
              <w:r w:rsidR="008402C9" w:rsidRPr="00B851CE">
                <w:rPr>
                  <w:rFonts w:ascii="標楷體" w:eastAsia="標楷體" w:hAnsi="標楷體" w:cs="Times New Roman"/>
                  <w:color w:val="0563C1"/>
                  <w:sz w:val="32"/>
                  <w:szCs w:val="32"/>
                  <w:u w:val="single"/>
                </w:rPr>
                <w:t>http://www.depkes.go.id/index.php</w:t>
              </w:r>
            </w:hyperlink>
          </w:p>
          <w:p w:rsidR="008402C9" w:rsidRPr="00B851CE" w:rsidRDefault="008402C9" w:rsidP="00E12F5C">
            <w:pPr>
              <w:snapToGrid w:val="0"/>
              <w:spacing w:line="460" w:lineRule="exact"/>
              <w:ind w:leftChars="200" w:left="480"/>
              <w:rPr>
                <w:rFonts w:ascii="標楷體" w:eastAsia="標楷體" w:hAnsi="標楷體" w:cs="Times New Roman"/>
                <w:sz w:val="32"/>
                <w:szCs w:val="32"/>
              </w:rPr>
            </w:pPr>
            <w:r w:rsidRPr="00B851CE">
              <w:rPr>
                <w:rFonts w:ascii="標楷體" w:eastAsia="標楷體" w:hAnsi="標楷體" w:cs="Times New Roman" w:hint="eastAsia"/>
                <w:sz w:val="32"/>
                <w:szCs w:val="32"/>
              </w:rPr>
              <w:t>食品藥品管制國家機構 (</w:t>
            </w:r>
            <w:r w:rsidRPr="00B851CE">
              <w:rPr>
                <w:rFonts w:ascii="標楷體" w:eastAsia="標楷體" w:hAnsi="標楷體" w:cs="Times New Roman"/>
                <w:sz w:val="32"/>
                <w:szCs w:val="32"/>
              </w:rPr>
              <w:t>National Agency of Drug and Food Control (NA-DFC))</w:t>
            </w:r>
          </w:p>
          <w:p w:rsidR="008402C9" w:rsidRPr="00B851CE" w:rsidRDefault="00023917" w:rsidP="00E12F5C">
            <w:pPr>
              <w:snapToGrid w:val="0"/>
              <w:spacing w:line="460" w:lineRule="exact"/>
              <w:ind w:leftChars="400" w:left="960"/>
              <w:rPr>
                <w:rFonts w:ascii="標楷體" w:eastAsia="標楷體" w:hAnsi="標楷體" w:cs="Times New Roman"/>
                <w:sz w:val="32"/>
                <w:szCs w:val="32"/>
              </w:rPr>
            </w:pPr>
            <w:hyperlink r:id="rId16" w:history="1">
              <w:r w:rsidR="008402C9" w:rsidRPr="00B851CE">
                <w:rPr>
                  <w:rFonts w:ascii="標楷體" w:eastAsia="標楷體" w:hAnsi="標楷體" w:cs="Times New Roman"/>
                  <w:color w:val="0563C1"/>
                  <w:sz w:val="32"/>
                  <w:szCs w:val="32"/>
                  <w:u w:val="single"/>
                </w:rPr>
                <w:t>http://www.pom.go.id/index.php/home/</w:t>
              </w:r>
            </w:hyperlink>
          </w:p>
          <w:p w:rsidR="008402C9" w:rsidRPr="00B851CE" w:rsidRDefault="008402C9" w:rsidP="00E12F5C">
            <w:pPr>
              <w:snapToGrid w:val="0"/>
              <w:spacing w:line="460" w:lineRule="exact"/>
              <w:rPr>
                <w:rFonts w:ascii="標楷體" w:eastAsia="標楷體" w:hAnsi="標楷體" w:cs="Times New Roman"/>
                <w:sz w:val="32"/>
                <w:szCs w:val="32"/>
              </w:rPr>
            </w:pPr>
          </w:p>
          <w:p w:rsidR="008402C9" w:rsidRPr="00B851CE" w:rsidRDefault="008402C9" w:rsidP="00E12F5C">
            <w:pPr>
              <w:snapToGrid w:val="0"/>
              <w:spacing w:line="460" w:lineRule="exact"/>
              <w:rPr>
                <w:rFonts w:ascii="標楷體" w:eastAsia="標楷體" w:hAnsi="標楷體" w:cs="Times New Roman"/>
                <w:sz w:val="32"/>
                <w:szCs w:val="32"/>
              </w:rPr>
            </w:pPr>
            <w:r w:rsidRPr="00B851CE">
              <w:rPr>
                <w:rFonts w:ascii="標楷體" w:eastAsia="標楷體" w:hAnsi="標楷體" w:cs="Times New Roman" w:hint="eastAsia"/>
                <w:sz w:val="32"/>
                <w:szCs w:val="32"/>
              </w:rPr>
              <w:t>新加坡：</w:t>
            </w:r>
          </w:p>
          <w:p w:rsidR="008402C9" w:rsidRPr="00B851CE" w:rsidRDefault="008402C9" w:rsidP="00E12F5C">
            <w:pPr>
              <w:snapToGrid w:val="0"/>
              <w:spacing w:line="460" w:lineRule="exact"/>
              <w:ind w:leftChars="200" w:left="480"/>
              <w:rPr>
                <w:rFonts w:ascii="標楷體" w:eastAsia="標楷體" w:hAnsi="標楷體" w:cs="Times New Roman"/>
                <w:sz w:val="32"/>
                <w:szCs w:val="32"/>
              </w:rPr>
            </w:pPr>
            <w:r w:rsidRPr="00B851CE">
              <w:rPr>
                <w:rFonts w:ascii="標楷體" w:eastAsia="標楷體" w:hAnsi="標楷體" w:cs="Times New Roman" w:hint="eastAsia"/>
                <w:sz w:val="32"/>
                <w:szCs w:val="32"/>
              </w:rPr>
              <w:t>衛生部 (</w:t>
            </w:r>
            <w:r w:rsidRPr="00B851CE">
              <w:rPr>
                <w:rFonts w:ascii="標楷體" w:eastAsia="標楷體" w:hAnsi="標楷體" w:cs="Times New Roman"/>
                <w:sz w:val="32"/>
                <w:szCs w:val="32"/>
              </w:rPr>
              <w:t>Ministry of Health</w:t>
            </w:r>
            <w:r w:rsidRPr="00B851CE">
              <w:rPr>
                <w:rFonts w:ascii="標楷體" w:eastAsia="標楷體" w:hAnsi="標楷體" w:cs="Times New Roman" w:hint="eastAsia"/>
                <w:sz w:val="32"/>
                <w:szCs w:val="32"/>
              </w:rPr>
              <w:t>)</w:t>
            </w:r>
          </w:p>
          <w:p w:rsidR="008402C9" w:rsidRPr="00B851CE" w:rsidRDefault="00023917" w:rsidP="00E12F5C">
            <w:pPr>
              <w:snapToGrid w:val="0"/>
              <w:spacing w:line="460" w:lineRule="exact"/>
              <w:ind w:leftChars="400" w:left="960"/>
              <w:rPr>
                <w:rFonts w:ascii="標楷體" w:eastAsia="標楷體" w:hAnsi="標楷體" w:cs="Times New Roman"/>
                <w:sz w:val="32"/>
                <w:szCs w:val="32"/>
              </w:rPr>
            </w:pPr>
            <w:hyperlink r:id="rId17" w:history="1">
              <w:r w:rsidR="008402C9" w:rsidRPr="00B851CE">
                <w:rPr>
                  <w:rFonts w:ascii="標楷體" w:eastAsia="標楷體" w:hAnsi="標楷體" w:cs="Times New Roman"/>
                  <w:color w:val="0563C1"/>
                  <w:sz w:val="32"/>
                  <w:szCs w:val="32"/>
                  <w:u w:val="single"/>
                </w:rPr>
                <w:t>https://www.moh.gov.sg/index.html</w:t>
              </w:r>
            </w:hyperlink>
          </w:p>
          <w:p w:rsidR="008402C9" w:rsidRPr="00B851CE" w:rsidRDefault="008402C9" w:rsidP="00E12F5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460" w:lineRule="exact"/>
              <w:ind w:leftChars="200" w:left="480"/>
              <w:rPr>
                <w:rFonts w:ascii="標楷體" w:eastAsia="標楷體" w:hAnsi="標楷體" w:cs="細明體"/>
                <w:color w:val="212121"/>
                <w:kern w:val="0"/>
                <w:sz w:val="32"/>
                <w:szCs w:val="32"/>
              </w:rPr>
            </w:pPr>
            <w:r w:rsidRPr="00B851CE">
              <w:rPr>
                <w:rFonts w:ascii="標楷體" w:eastAsia="標楷體" w:hAnsi="標楷體" w:cs="細明體" w:hint="eastAsia"/>
                <w:color w:val="212121"/>
                <w:kern w:val="0"/>
                <w:sz w:val="32"/>
                <w:szCs w:val="32"/>
              </w:rPr>
              <w:t>衛生科學局 (</w:t>
            </w:r>
            <w:r w:rsidRPr="00B851CE">
              <w:rPr>
                <w:rFonts w:ascii="標楷體" w:eastAsia="標楷體" w:hAnsi="標楷體" w:cs="Times New Roman"/>
                <w:sz w:val="32"/>
                <w:szCs w:val="32"/>
              </w:rPr>
              <w:t>Health Sciences Authority</w:t>
            </w:r>
            <w:r w:rsidRPr="00B851CE">
              <w:rPr>
                <w:rFonts w:ascii="標楷體" w:eastAsia="標楷體" w:hAnsi="標楷體" w:cs="Times New Roman" w:hint="eastAsia"/>
                <w:sz w:val="32"/>
                <w:szCs w:val="32"/>
              </w:rPr>
              <w:t>)</w:t>
            </w:r>
          </w:p>
          <w:p w:rsidR="008402C9" w:rsidRPr="00B851CE" w:rsidRDefault="00023917" w:rsidP="00E12F5C">
            <w:pPr>
              <w:snapToGrid w:val="0"/>
              <w:spacing w:line="460" w:lineRule="exact"/>
              <w:ind w:leftChars="400" w:left="960"/>
              <w:rPr>
                <w:rFonts w:ascii="標楷體" w:eastAsia="標楷體" w:hAnsi="標楷體" w:cs="Times New Roman"/>
                <w:sz w:val="32"/>
                <w:szCs w:val="32"/>
              </w:rPr>
            </w:pPr>
            <w:hyperlink r:id="rId18" w:history="1">
              <w:r w:rsidR="008402C9" w:rsidRPr="00B851CE">
                <w:rPr>
                  <w:rFonts w:ascii="標楷體" w:eastAsia="標楷體" w:hAnsi="標楷體" w:cs="Times New Roman"/>
                  <w:color w:val="0563C1"/>
                  <w:sz w:val="32"/>
                  <w:szCs w:val="32"/>
                  <w:u w:val="single"/>
                </w:rPr>
                <w:t>http://www.hsa.gov.sg/content/hsa/en.html</w:t>
              </w:r>
            </w:hyperlink>
          </w:p>
          <w:p w:rsidR="008402C9" w:rsidRPr="00B851CE" w:rsidRDefault="008402C9" w:rsidP="00E12F5C">
            <w:pPr>
              <w:snapToGrid w:val="0"/>
              <w:spacing w:line="460" w:lineRule="exact"/>
              <w:ind w:leftChars="200" w:left="480"/>
              <w:rPr>
                <w:rFonts w:ascii="標楷體" w:eastAsia="標楷體" w:hAnsi="標楷體" w:cs="Times New Roman"/>
                <w:sz w:val="32"/>
                <w:szCs w:val="32"/>
              </w:rPr>
            </w:pPr>
            <w:r w:rsidRPr="00B851CE">
              <w:rPr>
                <w:rFonts w:ascii="標楷體" w:eastAsia="標楷體" w:hAnsi="標楷體" w:cs="Times New Roman" w:hint="eastAsia"/>
                <w:sz w:val="32"/>
                <w:szCs w:val="32"/>
              </w:rPr>
              <w:t>中醫管理委員會 (</w:t>
            </w:r>
            <w:r w:rsidRPr="00B851CE">
              <w:rPr>
                <w:rFonts w:ascii="標楷體" w:eastAsia="標楷體" w:hAnsi="標楷體" w:cs="Times New Roman"/>
                <w:sz w:val="32"/>
                <w:szCs w:val="32"/>
              </w:rPr>
              <w:t>Traditional Chinese Medicine Practitioners Board (TCMPB)</w:t>
            </w:r>
            <w:r w:rsidRPr="00B851CE">
              <w:rPr>
                <w:rFonts w:ascii="標楷體" w:eastAsia="標楷體" w:hAnsi="標楷體" w:cs="Times New Roman" w:hint="eastAsia"/>
                <w:sz w:val="32"/>
                <w:szCs w:val="32"/>
              </w:rPr>
              <w:t>)</w:t>
            </w:r>
          </w:p>
          <w:p w:rsidR="008402C9" w:rsidRPr="00B851CE" w:rsidRDefault="00023917" w:rsidP="00E12F5C">
            <w:pPr>
              <w:snapToGrid w:val="0"/>
              <w:spacing w:line="460" w:lineRule="exact"/>
              <w:ind w:leftChars="400" w:left="960"/>
              <w:rPr>
                <w:rFonts w:ascii="標楷體" w:eastAsia="標楷體" w:hAnsi="標楷體" w:cs="Times New Roman"/>
                <w:sz w:val="32"/>
                <w:szCs w:val="32"/>
              </w:rPr>
            </w:pPr>
            <w:hyperlink r:id="rId19" w:history="1">
              <w:r w:rsidR="008402C9" w:rsidRPr="00B851CE">
                <w:rPr>
                  <w:rFonts w:ascii="標楷體" w:eastAsia="標楷體" w:hAnsi="標楷體" w:cs="Times New Roman"/>
                  <w:color w:val="0563C1"/>
                  <w:sz w:val="32"/>
                  <w:szCs w:val="32"/>
                  <w:u w:val="single"/>
                </w:rPr>
                <w:t>http://www.healthprofessionals.gov.sg/content/hprof/tcmpb/en.html</w:t>
              </w:r>
            </w:hyperlink>
          </w:p>
          <w:p w:rsidR="008402C9" w:rsidRPr="00B851CE" w:rsidRDefault="008402C9" w:rsidP="00E12F5C">
            <w:pPr>
              <w:snapToGrid w:val="0"/>
              <w:spacing w:line="460" w:lineRule="exact"/>
              <w:ind w:leftChars="200" w:left="480"/>
              <w:rPr>
                <w:rFonts w:ascii="標楷體" w:eastAsia="標楷體" w:hAnsi="標楷體" w:cs="Times New Roman"/>
                <w:sz w:val="32"/>
                <w:szCs w:val="32"/>
              </w:rPr>
            </w:pPr>
            <w:r w:rsidRPr="00B851CE">
              <w:rPr>
                <w:rFonts w:ascii="標楷體" w:eastAsia="標楷體" w:hAnsi="標楷體" w:cs="Times New Roman" w:hint="eastAsia"/>
                <w:sz w:val="32"/>
                <w:szCs w:val="32"/>
              </w:rPr>
              <w:t>新加坡農糧獸醫局 (</w:t>
            </w:r>
            <w:proofErr w:type="spellStart"/>
            <w:r w:rsidRPr="00B851CE">
              <w:rPr>
                <w:rFonts w:ascii="標楷體" w:eastAsia="標楷體" w:hAnsi="標楷體" w:cs="Times New Roman"/>
                <w:sz w:val="32"/>
                <w:szCs w:val="32"/>
              </w:rPr>
              <w:t>Agri</w:t>
            </w:r>
            <w:proofErr w:type="spellEnd"/>
            <w:r w:rsidRPr="00B851CE">
              <w:rPr>
                <w:rFonts w:ascii="標楷體" w:eastAsia="標楷體" w:hAnsi="標楷體" w:cs="Times New Roman"/>
                <w:sz w:val="32"/>
                <w:szCs w:val="32"/>
              </w:rPr>
              <w:t>-Food &amp; Veterinary Authority of Singapore</w:t>
            </w:r>
            <w:r w:rsidRPr="00B851CE">
              <w:rPr>
                <w:rFonts w:ascii="標楷體" w:eastAsia="標楷體" w:hAnsi="標楷體" w:cs="Times New Roman" w:hint="eastAsia"/>
                <w:sz w:val="32"/>
                <w:szCs w:val="32"/>
              </w:rPr>
              <w:t>)</w:t>
            </w:r>
          </w:p>
          <w:p w:rsidR="008402C9" w:rsidRPr="00B851CE" w:rsidRDefault="00023917" w:rsidP="00E12F5C">
            <w:pPr>
              <w:snapToGrid w:val="0"/>
              <w:spacing w:line="460" w:lineRule="exact"/>
              <w:ind w:leftChars="400" w:left="960"/>
              <w:rPr>
                <w:rFonts w:ascii="標楷體" w:eastAsia="標楷體" w:hAnsi="標楷體" w:cs="Times New Roman"/>
                <w:sz w:val="32"/>
                <w:szCs w:val="32"/>
              </w:rPr>
            </w:pPr>
            <w:hyperlink r:id="rId20" w:history="1">
              <w:r w:rsidR="008402C9" w:rsidRPr="00B851CE">
                <w:rPr>
                  <w:rFonts w:ascii="標楷體" w:eastAsia="標楷體" w:hAnsi="標楷體" w:cs="Times New Roman"/>
                  <w:color w:val="0563C1"/>
                  <w:sz w:val="32"/>
                  <w:szCs w:val="32"/>
                  <w:u w:val="single"/>
                </w:rPr>
                <w:t>http://www.ava.gov.sg/</w:t>
              </w:r>
            </w:hyperlink>
          </w:p>
          <w:p w:rsidR="008402C9" w:rsidRPr="00B851CE" w:rsidRDefault="008402C9" w:rsidP="00E12F5C">
            <w:pPr>
              <w:snapToGrid w:val="0"/>
              <w:spacing w:line="460" w:lineRule="exact"/>
              <w:rPr>
                <w:rFonts w:ascii="標楷體" w:eastAsia="標楷體" w:hAnsi="標楷體"/>
                <w:sz w:val="32"/>
                <w:szCs w:val="32"/>
              </w:rPr>
            </w:pPr>
          </w:p>
        </w:tc>
        <w:tc>
          <w:tcPr>
            <w:tcW w:w="885" w:type="dxa"/>
          </w:tcPr>
          <w:p w:rsidR="008402C9" w:rsidRPr="00B851CE" w:rsidRDefault="00B851CE" w:rsidP="00E12F5C">
            <w:pPr>
              <w:snapToGrid w:val="0"/>
              <w:spacing w:line="460" w:lineRule="exact"/>
              <w:rPr>
                <w:rFonts w:ascii="標楷體" w:eastAsia="標楷體" w:hAnsi="標楷體"/>
                <w:sz w:val="32"/>
                <w:szCs w:val="32"/>
              </w:rPr>
            </w:pPr>
            <w:r w:rsidRPr="00B851CE">
              <w:rPr>
                <w:rFonts w:ascii="標楷體" w:eastAsia="標楷體" w:hAnsi="標楷體" w:hint="eastAsia"/>
                <w:sz w:val="32"/>
                <w:szCs w:val="32"/>
              </w:rPr>
              <w:lastRenderedPageBreak/>
              <w:t>商發院提供</w:t>
            </w:r>
          </w:p>
        </w:tc>
      </w:tr>
    </w:tbl>
    <w:p w:rsidR="006E3279" w:rsidRDefault="006E3279" w:rsidP="00E12F5C">
      <w:pPr>
        <w:widowControl/>
      </w:pPr>
    </w:p>
    <w:p w:rsidR="00F27730" w:rsidRPr="006E3279" w:rsidRDefault="00F27730" w:rsidP="00E12F5C">
      <w:pPr>
        <w:widowControl/>
      </w:pPr>
    </w:p>
    <w:sectPr w:rsidR="00F27730" w:rsidRPr="006E3279" w:rsidSect="00E12F5C">
      <w:footerReference w:type="default" r:id="rId21"/>
      <w:pgSz w:w="11906" w:h="16838" w:code="9"/>
      <w:pgMar w:top="1440" w:right="851" w:bottom="1440" w:left="1797" w:header="851" w:footer="992" w:gutter="0"/>
      <w:cols w:space="425"/>
      <w:docGrid w:type="lines" w:linePitch="367" w:charSpace="743"/>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917" w:rsidRDefault="00023917" w:rsidP="00211756">
      <w:r>
        <w:separator/>
      </w:r>
    </w:p>
  </w:endnote>
  <w:endnote w:type="continuationSeparator" w:id="0">
    <w:p w:rsidR="00023917" w:rsidRDefault="00023917" w:rsidP="0021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1284015"/>
      <w:docPartObj>
        <w:docPartGallery w:val="Page Numbers (Bottom of Page)"/>
        <w:docPartUnique/>
      </w:docPartObj>
    </w:sdtPr>
    <w:sdtEndPr/>
    <w:sdtContent>
      <w:p w:rsidR="00211756" w:rsidRDefault="00211756">
        <w:pPr>
          <w:pStyle w:val="a6"/>
          <w:jc w:val="center"/>
        </w:pPr>
        <w:r>
          <w:fldChar w:fldCharType="begin"/>
        </w:r>
        <w:r>
          <w:instrText>PAGE   \* MERGEFORMAT</w:instrText>
        </w:r>
        <w:r>
          <w:fldChar w:fldCharType="separate"/>
        </w:r>
        <w:r w:rsidR="00DF48CD" w:rsidRPr="00DF48CD">
          <w:rPr>
            <w:noProof/>
            <w:lang w:val="zh-TW"/>
          </w:rPr>
          <w:t>1</w:t>
        </w:r>
        <w:r>
          <w:fldChar w:fldCharType="end"/>
        </w:r>
      </w:p>
    </w:sdtContent>
  </w:sdt>
  <w:p w:rsidR="00211756" w:rsidRDefault="0021175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917" w:rsidRDefault="00023917" w:rsidP="00211756">
      <w:r>
        <w:separator/>
      </w:r>
    </w:p>
  </w:footnote>
  <w:footnote w:type="continuationSeparator" w:id="0">
    <w:p w:rsidR="00023917" w:rsidRDefault="00023917" w:rsidP="002117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101F"/>
    <w:multiLevelType w:val="hybridMultilevel"/>
    <w:tmpl w:val="673AB642"/>
    <w:lvl w:ilvl="0" w:tplc="A65ECF76">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nsid w:val="0D2D22C1"/>
    <w:multiLevelType w:val="hybridMultilevel"/>
    <w:tmpl w:val="3154C1A2"/>
    <w:lvl w:ilvl="0" w:tplc="82D6B3A2">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
    <w:nsid w:val="13C100CF"/>
    <w:multiLevelType w:val="hybridMultilevel"/>
    <w:tmpl w:val="F9D4F2EE"/>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
    <w:nsid w:val="1DB71B20"/>
    <w:multiLevelType w:val="hybridMultilevel"/>
    <w:tmpl w:val="C10C954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091110D"/>
    <w:multiLevelType w:val="hybridMultilevel"/>
    <w:tmpl w:val="C1D47C94"/>
    <w:lvl w:ilvl="0" w:tplc="04090011">
      <w:start w:val="1"/>
      <w:numFmt w:val="upperLetter"/>
      <w:lvlText w:val="%1."/>
      <w:lvlJc w:val="left"/>
      <w:pPr>
        <w:ind w:left="1926" w:hanging="480"/>
      </w:pPr>
      <w:rPr>
        <w:rFonts w:hint="eastAsia"/>
      </w:rPr>
    </w:lvl>
    <w:lvl w:ilvl="1" w:tplc="04090019" w:tentative="1">
      <w:start w:val="1"/>
      <w:numFmt w:val="ideographTraditional"/>
      <w:lvlText w:val="%2、"/>
      <w:lvlJc w:val="left"/>
      <w:pPr>
        <w:ind w:left="2406" w:hanging="480"/>
      </w:pPr>
    </w:lvl>
    <w:lvl w:ilvl="2" w:tplc="0409001B" w:tentative="1">
      <w:start w:val="1"/>
      <w:numFmt w:val="lowerRoman"/>
      <w:lvlText w:val="%3."/>
      <w:lvlJc w:val="right"/>
      <w:pPr>
        <w:ind w:left="2886" w:hanging="480"/>
      </w:pPr>
    </w:lvl>
    <w:lvl w:ilvl="3" w:tplc="0409000F" w:tentative="1">
      <w:start w:val="1"/>
      <w:numFmt w:val="decimal"/>
      <w:lvlText w:val="%4."/>
      <w:lvlJc w:val="left"/>
      <w:pPr>
        <w:ind w:left="3366" w:hanging="480"/>
      </w:pPr>
    </w:lvl>
    <w:lvl w:ilvl="4" w:tplc="04090019" w:tentative="1">
      <w:start w:val="1"/>
      <w:numFmt w:val="ideographTraditional"/>
      <w:lvlText w:val="%5、"/>
      <w:lvlJc w:val="left"/>
      <w:pPr>
        <w:ind w:left="3846" w:hanging="480"/>
      </w:pPr>
    </w:lvl>
    <w:lvl w:ilvl="5" w:tplc="0409001B" w:tentative="1">
      <w:start w:val="1"/>
      <w:numFmt w:val="lowerRoman"/>
      <w:lvlText w:val="%6."/>
      <w:lvlJc w:val="right"/>
      <w:pPr>
        <w:ind w:left="4326" w:hanging="480"/>
      </w:pPr>
    </w:lvl>
    <w:lvl w:ilvl="6" w:tplc="0409000F" w:tentative="1">
      <w:start w:val="1"/>
      <w:numFmt w:val="decimal"/>
      <w:lvlText w:val="%7."/>
      <w:lvlJc w:val="left"/>
      <w:pPr>
        <w:ind w:left="4806" w:hanging="480"/>
      </w:pPr>
    </w:lvl>
    <w:lvl w:ilvl="7" w:tplc="04090019" w:tentative="1">
      <w:start w:val="1"/>
      <w:numFmt w:val="ideographTraditional"/>
      <w:lvlText w:val="%8、"/>
      <w:lvlJc w:val="left"/>
      <w:pPr>
        <w:ind w:left="5286" w:hanging="480"/>
      </w:pPr>
    </w:lvl>
    <w:lvl w:ilvl="8" w:tplc="0409001B" w:tentative="1">
      <w:start w:val="1"/>
      <w:numFmt w:val="lowerRoman"/>
      <w:lvlText w:val="%9."/>
      <w:lvlJc w:val="right"/>
      <w:pPr>
        <w:ind w:left="5766" w:hanging="480"/>
      </w:pPr>
    </w:lvl>
  </w:abstractNum>
  <w:abstractNum w:abstractNumId="5">
    <w:nsid w:val="28266447"/>
    <w:multiLevelType w:val="hybridMultilevel"/>
    <w:tmpl w:val="9E6CFE86"/>
    <w:lvl w:ilvl="0" w:tplc="04090011">
      <w:start w:val="1"/>
      <w:numFmt w:val="upperLetter"/>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30171A06"/>
    <w:multiLevelType w:val="hybridMultilevel"/>
    <w:tmpl w:val="26A62008"/>
    <w:lvl w:ilvl="0" w:tplc="82D6B3A2">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33E50B3D"/>
    <w:multiLevelType w:val="hybridMultilevel"/>
    <w:tmpl w:val="91FE2082"/>
    <w:lvl w:ilvl="0" w:tplc="82D6B3A2">
      <w:start w:val="1"/>
      <w:numFmt w:val="decimal"/>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nsid w:val="367F6970"/>
    <w:multiLevelType w:val="hybridMultilevel"/>
    <w:tmpl w:val="B122DFE2"/>
    <w:lvl w:ilvl="0" w:tplc="82D6B3A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nsid w:val="38734F8F"/>
    <w:multiLevelType w:val="hybridMultilevel"/>
    <w:tmpl w:val="E4C04BCA"/>
    <w:lvl w:ilvl="0" w:tplc="04090011">
      <w:start w:val="1"/>
      <w:numFmt w:val="upp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nsid w:val="3BEE5D7F"/>
    <w:multiLevelType w:val="hybridMultilevel"/>
    <w:tmpl w:val="069AB52A"/>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nsid w:val="3C56641A"/>
    <w:multiLevelType w:val="hybridMultilevel"/>
    <w:tmpl w:val="D18ECEEA"/>
    <w:lvl w:ilvl="0" w:tplc="0409000F">
      <w:start w:val="1"/>
      <w:numFmt w:val="decimal"/>
      <w:lvlText w:val="%1."/>
      <w:lvlJc w:val="left"/>
      <w:pPr>
        <w:ind w:left="1920" w:hanging="480"/>
      </w:pPr>
      <w:rPr>
        <w:rFonts w:hint="default"/>
      </w:rPr>
    </w:lvl>
    <w:lvl w:ilvl="1" w:tplc="66DA4FF4">
      <w:start w:val="1"/>
      <w:numFmt w:val="upperLetter"/>
      <w:lvlText w:val="%2."/>
      <w:lvlJc w:val="left"/>
      <w:pPr>
        <w:ind w:left="2280" w:hanging="36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nsid w:val="44506E0E"/>
    <w:multiLevelType w:val="hybridMultilevel"/>
    <w:tmpl w:val="657830C4"/>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3">
    <w:nsid w:val="4AFB3271"/>
    <w:multiLevelType w:val="hybridMultilevel"/>
    <w:tmpl w:val="657830C4"/>
    <w:lvl w:ilvl="0" w:tplc="0409000F">
      <w:start w:val="1"/>
      <w:numFmt w:val="decimal"/>
      <w:lvlText w:val="%1."/>
      <w:lvlJc w:val="left"/>
      <w:pPr>
        <w:ind w:left="1440" w:hanging="480"/>
      </w:pPr>
    </w:lvl>
    <w:lvl w:ilvl="1" w:tplc="04090019">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nsid w:val="4B0D0539"/>
    <w:multiLevelType w:val="hybridMultilevel"/>
    <w:tmpl w:val="377043F0"/>
    <w:lvl w:ilvl="0" w:tplc="04090011">
      <w:start w:val="1"/>
      <w:numFmt w:val="upperLetter"/>
      <w:lvlText w:val="%1."/>
      <w:lvlJc w:val="left"/>
      <w:pPr>
        <w:ind w:left="1920" w:hanging="480"/>
      </w:pPr>
      <w:rPr>
        <w:rFonts w:hint="eastAsia"/>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5">
    <w:nsid w:val="56DD2732"/>
    <w:multiLevelType w:val="hybridMultilevel"/>
    <w:tmpl w:val="B7408E8A"/>
    <w:lvl w:ilvl="0" w:tplc="0409000F">
      <w:start w:val="1"/>
      <w:numFmt w:val="decimal"/>
      <w:lvlText w:val="%1."/>
      <w:lvlJc w:val="left"/>
      <w:pPr>
        <w:ind w:left="1440" w:hanging="480"/>
      </w:pPr>
    </w:lvl>
    <w:lvl w:ilvl="1" w:tplc="A65ECF76">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6">
    <w:nsid w:val="5A5D649C"/>
    <w:multiLevelType w:val="hybridMultilevel"/>
    <w:tmpl w:val="2FB6D7C8"/>
    <w:lvl w:ilvl="0" w:tplc="82D6B3A2">
      <w:start w:val="1"/>
      <w:numFmt w:val="decimal"/>
      <w:lvlText w:val="(%1)"/>
      <w:lvlJc w:val="left"/>
      <w:pPr>
        <w:ind w:left="1926" w:hanging="480"/>
      </w:pPr>
      <w:rPr>
        <w:rFonts w:hint="eastAsia"/>
      </w:rPr>
    </w:lvl>
    <w:lvl w:ilvl="1" w:tplc="04090019" w:tentative="1">
      <w:start w:val="1"/>
      <w:numFmt w:val="ideographTraditional"/>
      <w:lvlText w:val="%2、"/>
      <w:lvlJc w:val="left"/>
      <w:pPr>
        <w:ind w:left="2406" w:hanging="480"/>
      </w:pPr>
    </w:lvl>
    <w:lvl w:ilvl="2" w:tplc="0409001B" w:tentative="1">
      <w:start w:val="1"/>
      <w:numFmt w:val="lowerRoman"/>
      <w:lvlText w:val="%3."/>
      <w:lvlJc w:val="right"/>
      <w:pPr>
        <w:ind w:left="2886" w:hanging="480"/>
      </w:pPr>
    </w:lvl>
    <w:lvl w:ilvl="3" w:tplc="0409000F" w:tentative="1">
      <w:start w:val="1"/>
      <w:numFmt w:val="decimal"/>
      <w:lvlText w:val="%4."/>
      <w:lvlJc w:val="left"/>
      <w:pPr>
        <w:ind w:left="3366" w:hanging="480"/>
      </w:pPr>
    </w:lvl>
    <w:lvl w:ilvl="4" w:tplc="04090019" w:tentative="1">
      <w:start w:val="1"/>
      <w:numFmt w:val="ideographTraditional"/>
      <w:lvlText w:val="%5、"/>
      <w:lvlJc w:val="left"/>
      <w:pPr>
        <w:ind w:left="3846" w:hanging="480"/>
      </w:pPr>
    </w:lvl>
    <w:lvl w:ilvl="5" w:tplc="0409001B" w:tentative="1">
      <w:start w:val="1"/>
      <w:numFmt w:val="lowerRoman"/>
      <w:lvlText w:val="%6."/>
      <w:lvlJc w:val="right"/>
      <w:pPr>
        <w:ind w:left="4326" w:hanging="480"/>
      </w:pPr>
    </w:lvl>
    <w:lvl w:ilvl="6" w:tplc="0409000F" w:tentative="1">
      <w:start w:val="1"/>
      <w:numFmt w:val="decimal"/>
      <w:lvlText w:val="%7."/>
      <w:lvlJc w:val="left"/>
      <w:pPr>
        <w:ind w:left="4806" w:hanging="480"/>
      </w:pPr>
    </w:lvl>
    <w:lvl w:ilvl="7" w:tplc="04090019" w:tentative="1">
      <w:start w:val="1"/>
      <w:numFmt w:val="ideographTraditional"/>
      <w:lvlText w:val="%8、"/>
      <w:lvlJc w:val="left"/>
      <w:pPr>
        <w:ind w:left="5286" w:hanging="480"/>
      </w:pPr>
    </w:lvl>
    <w:lvl w:ilvl="8" w:tplc="0409001B" w:tentative="1">
      <w:start w:val="1"/>
      <w:numFmt w:val="lowerRoman"/>
      <w:lvlText w:val="%9."/>
      <w:lvlJc w:val="right"/>
      <w:pPr>
        <w:ind w:left="5766" w:hanging="480"/>
      </w:pPr>
    </w:lvl>
  </w:abstractNum>
  <w:abstractNum w:abstractNumId="17">
    <w:nsid w:val="5BB732F1"/>
    <w:multiLevelType w:val="hybridMultilevel"/>
    <w:tmpl w:val="12D247F4"/>
    <w:lvl w:ilvl="0" w:tplc="04090011">
      <w:start w:val="1"/>
      <w:numFmt w:val="upperLetter"/>
      <w:lvlText w:val="%1."/>
      <w:lvlJc w:val="left"/>
      <w:pPr>
        <w:ind w:left="1963" w:hanging="480"/>
      </w:pPr>
      <w:rPr>
        <w:rFonts w:hint="eastAsia"/>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2923" w:hanging="480"/>
      </w:pPr>
    </w:lvl>
    <w:lvl w:ilvl="3" w:tplc="0409000F" w:tentative="1">
      <w:start w:val="1"/>
      <w:numFmt w:val="decimal"/>
      <w:lvlText w:val="%4."/>
      <w:lvlJc w:val="left"/>
      <w:pPr>
        <w:ind w:left="3403" w:hanging="480"/>
      </w:pPr>
    </w:lvl>
    <w:lvl w:ilvl="4" w:tplc="04090019" w:tentative="1">
      <w:start w:val="1"/>
      <w:numFmt w:val="ideographTraditional"/>
      <w:lvlText w:val="%5、"/>
      <w:lvlJc w:val="left"/>
      <w:pPr>
        <w:ind w:left="3883" w:hanging="480"/>
      </w:pPr>
    </w:lvl>
    <w:lvl w:ilvl="5" w:tplc="0409001B" w:tentative="1">
      <w:start w:val="1"/>
      <w:numFmt w:val="lowerRoman"/>
      <w:lvlText w:val="%6."/>
      <w:lvlJc w:val="right"/>
      <w:pPr>
        <w:ind w:left="4363" w:hanging="480"/>
      </w:pPr>
    </w:lvl>
    <w:lvl w:ilvl="6" w:tplc="0409000F" w:tentative="1">
      <w:start w:val="1"/>
      <w:numFmt w:val="decimal"/>
      <w:lvlText w:val="%7."/>
      <w:lvlJc w:val="left"/>
      <w:pPr>
        <w:ind w:left="4843" w:hanging="480"/>
      </w:pPr>
    </w:lvl>
    <w:lvl w:ilvl="7" w:tplc="04090019" w:tentative="1">
      <w:start w:val="1"/>
      <w:numFmt w:val="ideographTraditional"/>
      <w:lvlText w:val="%8、"/>
      <w:lvlJc w:val="left"/>
      <w:pPr>
        <w:ind w:left="5323" w:hanging="480"/>
      </w:pPr>
    </w:lvl>
    <w:lvl w:ilvl="8" w:tplc="0409001B" w:tentative="1">
      <w:start w:val="1"/>
      <w:numFmt w:val="lowerRoman"/>
      <w:lvlText w:val="%9."/>
      <w:lvlJc w:val="right"/>
      <w:pPr>
        <w:ind w:left="5803" w:hanging="480"/>
      </w:pPr>
    </w:lvl>
  </w:abstractNum>
  <w:abstractNum w:abstractNumId="18">
    <w:nsid w:val="61565FEC"/>
    <w:multiLevelType w:val="hybridMultilevel"/>
    <w:tmpl w:val="B122DFE2"/>
    <w:lvl w:ilvl="0" w:tplc="82D6B3A2">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9">
    <w:nsid w:val="69942F7F"/>
    <w:multiLevelType w:val="hybridMultilevel"/>
    <w:tmpl w:val="A874FF04"/>
    <w:lvl w:ilvl="0" w:tplc="0409000F">
      <w:start w:val="1"/>
      <w:numFmt w:val="decimal"/>
      <w:lvlText w:val="%1."/>
      <w:lvlJc w:val="left"/>
      <w:pPr>
        <w:ind w:left="1920" w:hanging="480"/>
      </w:pPr>
      <w:rPr>
        <w:rFonts w:hint="eastAsia"/>
      </w:rPr>
    </w:lvl>
    <w:lvl w:ilvl="1" w:tplc="A65ECF76">
      <w:start w:val="1"/>
      <w:numFmt w:val="decimal"/>
      <w:lvlText w:val="(%2)"/>
      <w:lvlJc w:val="left"/>
      <w:pPr>
        <w:ind w:left="2400" w:hanging="480"/>
      </w:pPr>
      <w:rPr>
        <w:rFonts w:hint="eastAsia"/>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0">
    <w:nsid w:val="772C328E"/>
    <w:multiLevelType w:val="hybridMultilevel"/>
    <w:tmpl w:val="C316DFD6"/>
    <w:lvl w:ilvl="0" w:tplc="82D6B3A2">
      <w:start w:val="1"/>
      <w:numFmt w:val="decimal"/>
      <w:lvlText w:val="(%1)"/>
      <w:lvlJc w:val="left"/>
      <w:pPr>
        <w:ind w:left="1963" w:hanging="480"/>
      </w:pPr>
      <w:rPr>
        <w:rFonts w:hint="eastAsia"/>
      </w:rPr>
    </w:lvl>
    <w:lvl w:ilvl="1" w:tplc="04090019" w:tentative="1">
      <w:start w:val="1"/>
      <w:numFmt w:val="ideographTraditional"/>
      <w:lvlText w:val="%2、"/>
      <w:lvlJc w:val="left"/>
      <w:pPr>
        <w:ind w:left="2443" w:hanging="480"/>
      </w:pPr>
    </w:lvl>
    <w:lvl w:ilvl="2" w:tplc="0409001B" w:tentative="1">
      <w:start w:val="1"/>
      <w:numFmt w:val="lowerRoman"/>
      <w:lvlText w:val="%3."/>
      <w:lvlJc w:val="right"/>
      <w:pPr>
        <w:ind w:left="2923" w:hanging="480"/>
      </w:pPr>
    </w:lvl>
    <w:lvl w:ilvl="3" w:tplc="0409000F" w:tentative="1">
      <w:start w:val="1"/>
      <w:numFmt w:val="decimal"/>
      <w:lvlText w:val="%4."/>
      <w:lvlJc w:val="left"/>
      <w:pPr>
        <w:ind w:left="3403" w:hanging="480"/>
      </w:pPr>
    </w:lvl>
    <w:lvl w:ilvl="4" w:tplc="04090019" w:tentative="1">
      <w:start w:val="1"/>
      <w:numFmt w:val="ideographTraditional"/>
      <w:lvlText w:val="%5、"/>
      <w:lvlJc w:val="left"/>
      <w:pPr>
        <w:ind w:left="3883" w:hanging="480"/>
      </w:pPr>
    </w:lvl>
    <w:lvl w:ilvl="5" w:tplc="0409001B" w:tentative="1">
      <w:start w:val="1"/>
      <w:numFmt w:val="lowerRoman"/>
      <w:lvlText w:val="%6."/>
      <w:lvlJc w:val="right"/>
      <w:pPr>
        <w:ind w:left="4363" w:hanging="480"/>
      </w:pPr>
    </w:lvl>
    <w:lvl w:ilvl="6" w:tplc="0409000F" w:tentative="1">
      <w:start w:val="1"/>
      <w:numFmt w:val="decimal"/>
      <w:lvlText w:val="%7."/>
      <w:lvlJc w:val="left"/>
      <w:pPr>
        <w:ind w:left="4843" w:hanging="480"/>
      </w:pPr>
    </w:lvl>
    <w:lvl w:ilvl="7" w:tplc="04090019" w:tentative="1">
      <w:start w:val="1"/>
      <w:numFmt w:val="ideographTraditional"/>
      <w:lvlText w:val="%8、"/>
      <w:lvlJc w:val="left"/>
      <w:pPr>
        <w:ind w:left="5323" w:hanging="480"/>
      </w:pPr>
    </w:lvl>
    <w:lvl w:ilvl="8" w:tplc="0409001B" w:tentative="1">
      <w:start w:val="1"/>
      <w:numFmt w:val="lowerRoman"/>
      <w:lvlText w:val="%9."/>
      <w:lvlJc w:val="right"/>
      <w:pPr>
        <w:ind w:left="5803" w:hanging="480"/>
      </w:pPr>
    </w:lvl>
  </w:abstractNum>
  <w:num w:numId="1">
    <w:abstractNumId w:val="12"/>
  </w:num>
  <w:num w:numId="2">
    <w:abstractNumId w:val="16"/>
  </w:num>
  <w:num w:numId="3">
    <w:abstractNumId w:val="6"/>
  </w:num>
  <w:num w:numId="4">
    <w:abstractNumId w:val="1"/>
  </w:num>
  <w:num w:numId="5">
    <w:abstractNumId w:val="9"/>
  </w:num>
  <w:num w:numId="6">
    <w:abstractNumId w:val="2"/>
  </w:num>
  <w:num w:numId="7">
    <w:abstractNumId w:val="8"/>
  </w:num>
  <w:num w:numId="8">
    <w:abstractNumId w:val="18"/>
  </w:num>
  <w:num w:numId="9">
    <w:abstractNumId w:val="7"/>
  </w:num>
  <w:num w:numId="10">
    <w:abstractNumId w:val="20"/>
  </w:num>
  <w:num w:numId="11">
    <w:abstractNumId w:val="11"/>
  </w:num>
  <w:num w:numId="12">
    <w:abstractNumId w:val="19"/>
  </w:num>
  <w:num w:numId="13">
    <w:abstractNumId w:val="10"/>
  </w:num>
  <w:num w:numId="14">
    <w:abstractNumId w:val="3"/>
  </w:num>
  <w:num w:numId="15">
    <w:abstractNumId w:val="13"/>
  </w:num>
  <w:num w:numId="16">
    <w:abstractNumId w:val="4"/>
  </w:num>
  <w:num w:numId="17">
    <w:abstractNumId w:val="15"/>
  </w:num>
  <w:num w:numId="18">
    <w:abstractNumId w:val="14"/>
  </w:num>
  <w:num w:numId="19">
    <w:abstractNumId w:val="5"/>
  </w:num>
  <w:num w:numId="20">
    <w:abstractNumId w:val="0"/>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2"/>
  <w:drawingGridHorizontalSpacing w:val="122"/>
  <w:drawingGridVerticalSpacing w:val="36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279"/>
    <w:rsid w:val="00023917"/>
    <w:rsid w:val="0004505F"/>
    <w:rsid w:val="000606C3"/>
    <w:rsid w:val="001C4A26"/>
    <w:rsid w:val="00211756"/>
    <w:rsid w:val="00251C33"/>
    <w:rsid w:val="002B003C"/>
    <w:rsid w:val="002F5EF5"/>
    <w:rsid w:val="003515C9"/>
    <w:rsid w:val="00383F78"/>
    <w:rsid w:val="003E0F9B"/>
    <w:rsid w:val="00434396"/>
    <w:rsid w:val="004B2562"/>
    <w:rsid w:val="00540641"/>
    <w:rsid w:val="00615E35"/>
    <w:rsid w:val="00633C9A"/>
    <w:rsid w:val="006B1728"/>
    <w:rsid w:val="006E3279"/>
    <w:rsid w:val="006F0EC6"/>
    <w:rsid w:val="007B5F51"/>
    <w:rsid w:val="008402C9"/>
    <w:rsid w:val="00870597"/>
    <w:rsid w:val="00886A39"/>
    <w:rsid w:val="009B388A"/>
    <w:rsid w:val="00A3568D"/>
    <w:rsid w:val="00A44818"/>
    <w:rsid w:val="00B14C02"/>
    <w:rsid w:val="00B2365D"/>
    <w:rsid w:val="00B851CE"/>
    <w:rsid w:val="00BE5E3D"/>
    <w:rsid w:val="00CD5F9A"/>
    <w:rsid w:val="00D42F5D"/>
    <w:rsid w:val="00DF48CD"/>
    <w:rsid w:val="00E12F5C"/>
    <w:rsid w:val="00E849DD"/>
    <w:rsid w:val="00F27730"/>
    <w:rsid w:val="00FA5C64"/>
    <w:rsid w:val="00FF0C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3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1756"/>
    <w:pPr>
      <w:tabs>
        <w:tab w:val="center" w:pos="4153"/>
        <w:tab w:val="right" w:pos="8306"/>
      </w:tabs>
      <w:snapToGrid w:val="0"/>
    </w:pPr>
    <w:rPr>
      <w:sz w:val="20"/>
      <w:szCs w:val="20"/>
    </w:rPr>
  </w:style>
  <w:style w:type="character" w:customStyle="1" w:styleId="a5">
    <w:name w:val="頁首 字元"/>
    <w:basedOn w:val="a0"/>
    <w:link w:val="a4"/>
    <w:uiPriority w:val="99"/>
    <w:rsid w:val="00211756"/>
    <w:rPr>
      <w:sz w:val="20"/>
      <w:szCs w:val="20"/>
    </w:rPr>
  </w:style>
  <w:style w:type="paragraph" w:styleId="a6">
    <w:name w:val="footer"/>
    <w:basedOn w:val="a"/>
    <w:link w:val="a7"/>
    <w:uiPriority w:val="99"/>
    <w:unhideWhenUsed/>
    <w:rsid w:val="00211756"/>
    <w:pPr>
      <w:tabs>
        <w:tab w:val="center" w:pos="4153"/>
        <w:tab w:val="right" w:pos="8306"/>
      </w:tabs>
      <w:snapToGrid w:val="0"/>
    </w:pPr>
    <w:rPr>
      <w:sz w:val="20"/>
      <w:szCs w:val="20"/>
    </w:rPr>
  </w:style>
  <w:style w:type="character" w:customStyle="1" w:styleId="a7">
    <w:name w:val="頁尾 字元"/>
    <w:basedOn w:val="a0"/>
    <w:link w:val="a6"/>
    <w:uiPriority w:val="99"/>
    <w:rsid w:val="00211756"/>
    <w:rPr>
      <w:sz w:val="20"/>
      <w:szCs w:val="20"/>
    </w:rPr>
  </w:style>
  <w:style w:type="character" w:styleId="a8">
    <w:name w:val="Hyperlink"/>
    <w:basedOn w:val="a0"/>
    <w:uiPriority w:val="99"/>
    <w:unhideWhenUsed/>
    <w:rsid w:val="008402C9"/>
    <w:rPr>
      <w:color w:val="0000FF"/>
      <w:u w:val="single"/>
    </w:rPr>
  </w:style>
  <w:style w:type="paragraph" w:styleId="a9">
    <w:name w:val="footnote text"/>
    <w:basedOn w:val="a"/>
    <w:link w:val="aa"/>
    <w:uiPriority w:val="99"/>
    <w:unhideWhenUsed/>
    <w:rsid w:val="008402C9"/>
    <w:pPr>
      <w:snapToGrid w:val="0"/>
    </w:pPr>
    <w:rPr>
      <w:rFonts w:ascii="Calibri" w:eastAsia="新細明體" w:hAnsi="Calibri" w:cs="Times New Roman"/>
      <w:sz w:val="20"/>
      <w:szCs w:val="20"/>
    </w:rPr>
  </w:style>
  <w:style w:type="character" w:customStyle="1" w:styleId="aa">
    <w:name w:val="註腳文字 字元"/>
    <w:basedOn w:val="a0"/>
    <w:link w:val="a9"/>
    <w:uiPriority w:val="99"/>
    <w:rsid w:val="008402C9"/>
    <w:rPr>
      <w:rFonts w:ascii="Calibri" w:eastAsia="新細明體" w:hAnsi="Calibri" w:cs="Times New Roman"/>
      <w:sz w:val="20"/>
      <w:szCs w:val="20"/>
    </w:rPr>
  </w:style>
  <w:style w:type="character" w:styleId="ab">
    <w:name w:val="footnote reference"/>
    <w:basedOn w:val="a0"/>
    <w:uiPriority w:val="99"/>
    <w:semiHidden/>
    <w:unhideWhenUsed/>
    <w:rsid w:val="008402C9"/>
    <w:rPr>
      <w:vertAlign w:val="superscript"/>
    </w:rPr>
  </w:style>
  <w:style w:type="paragraph" w:styleId="ac">
    <w:name w:val="Balloon Text"/>
    <w:basedOn w:val="a"/>
    <w:link w:val="ad"/>
    <w:uiPriority w:val="99"/>
    <w:semiHidden/>
    <w:unhideWhenUsed/>
    <w:rsid w:val="00E12F5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12F5C"/>
    <w:rPr>
      <w:rFonts w:asciiTheme="majorHAnsi" w:eastAsiaTheme="majorEastAsia" w:hAnsiTheme="majorHAnsi" w:cstheme="majorBidi"/>
      <w:sz w:val="18"/>
      <w:szCs w:val="18"/>
    </w:rPr>
  </w:style>
  <w:style w:type="paragraph" w:styleId="ae">
    <w:name w:val="List Paragraph"/>
    <w:basedOn w:val="a"/>
    <w:uiPriority w:val="34"/>
    <w:qFormat/>
    <w:rsid w:val="00D42F5D"/>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E32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11756"/>
    <w:pPr>
      <w:tabs>
        <w:tab w:val="center" w:pos="4153"/>
        <w:tab w:val="right" w:pos="8306"/>
      </w:tabs>
      <w:snapToGrid w:val="0"/>
    </w:pPr>
    <w:rPr>
      <w:sz w:val="20"/>
      <w:szCs w:val="20"/>
    </w:rPr>
  </w:style>
  <w:style w:type="character" w:customStyle="1" w:styleId="a5">
    <w:name w:val="頁首 字元"/>
    <w:basedOn w:val="a0"/>
    <w:link w:val="a4"/>
    <w:uiPriority w:val="99"/>
    <w:rsid w:val="00211756"/>
    <w:rPr>
      <w:sz w:val="20"/>
      <w:szCs w:val="20"/>
    </w:rPr>
  </w:style>
  <w:style w:type="paragraph" w:styleId="a6">
    <w:name w:val="footer"/>
    <w:basedOn w:val="a"/>
    <w:link w:val="a7"/>
    <w:uiPriority w:val="99"/>
    <w:unhideWhenUsed/>
    <w:rsid w:val="00211756"/>
    <w:pPr>
      <w:tabs>
        <w:tab w:val="center" w:pos="4153"/>
        <w:tab w:val="right" w:pos="8306"/>
      </w:tabs>
      <w:snapToGrid w:val="0"/>
    </w:pPr>
    <w:rPr>
      <w:sz w:val="20"/>
      <w:szCs w:val="20"/>
    </w:rPr>
  </w:style>
  <w:style w:type="character" w:customStyle="1" w:styleId="a7">
    <w:name w:val="頁尾 字元"/>
    <w:basedOn w:val="a0"/>
    <w:link w:val="a6"/>
    <w:uiPriority w:val="99"/>
    <w:rsid w:val="00211756"/>
    <w:rPr>
      <w:sz w:val="20"/>
      <w:szCs w:val="20"/>
    </w:rPr>
  </w:style>
  <w:style w:type="character" w:styleId="a8">
    <w:name w:val="Hyperlink"/>
    <w:basedOn w:val="a0"/>
    <w:uiPriority w:val="99"/>
    <w:unhideWhenUsed/>
    <w:rsid w:val="008402C9"/>
    <w:rPr>
      <w:color w:val="0000FF"/>
      <w:u w:val="single"/>
    </w:rPr>
  </w:style>
  <w:style w:type="paragraph" w:styleId="a9">
    <w:name w:val="footnote text"/>
    <w:basedOn w:val="a"/>
    <w:link w:val="aa"/>
    <w:uiPriority w:val="99"/>
    <w:unhideWhenUsed/>
    <w:rsid w:val="008402C9"/>
    <w:pPr>
      <w:snapToGrid w:val="0"/>
    </w:pPr>
    <w:rPr>
      <w:rFonts w:ascii="Calibri" w:eastAsia="新細明體" w:hAnsi="Calibri" w:cs="Times New Roman"/>
      <w:sz w:val="20"/>
      <w:szCs w:val="20"/>
    </w:rPr>
  </w:style>
  <w:style w:type="character" w:customStyle="1" w:styleId="aa">
    <w:name w:val="註腳文字 字元"/>
    <w:basedOn w:val="a0"/>
    <w:link w:val="a9"/>
    <w:uiPriority w:val="99"/>
    <w:rsid w:val="008402C9"/>
    <w:rPr>
      <w:rFonts w:ascii="Calibri" w:eastAsia="新細明體" w:hAnsi="Calibri" w:cs="Times New Roman"/>
      <w:sz w:val="20"/>
      <w:szCs w:val="20"/>
    </w:rPr>
  </w:style>
  <w:style w:type="character" w:styleId="ab">
    <w:name w:val="footnote reference"/>
    <w:basedOn w:val="a0"/>
    <w:uiPriority w:val="99"/>
    <w:semiHidden/>
    <w:unhideWhenUsed/>
    <w:rsid w:val="008402C9"/>
    <w:rPr>
      <w:vertAlign w:val="superscript"/>
    </w:rPr>
  </w:style>
  <w:style w:type="paragraph" w:styleId="ac">
    <w:name w:val="Balloon Text"/>
    <w:basedOn w:val="a"/>
    <w:link w:val="ad"/>
    <w:uiPriority w:val="99"/>
    <w:semiHidden/>
    <w:unhideWhenUsed/>
    <w:rsid w:val="00E12F5C"/>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E12F5C"/>
    <w:rPr>
      <w:rFonts w:asciiTheme="majorHAnsi" w:eastAsiaTheme="majorEastAsia" w:hAnsiTheme="majorHAnsi" w:cstheme="majorBidi"/>
      <w:sz w:val="18"/>
      <w:szCs w:val="18"/>
    </w:rPr>
  </w:style>
  <w:style w:type="paragraph" w:styleId="ae">
    <w:name w:val="List Paragraph"/>
    <w:basedOn w:val="a"/>
    <w:uiPriority w:val="34"/>
    <w:qFormat/>
    <w:rsid w:val="00D42F5D"/>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fsis2.moh.gov.my/fosimv2/HOM/frmHOMPage.aspx" TargetMode="External"/><Relationship Id="rId18" Type="http://schemas.openxmlformats.org/officeDocument/2006/relationships/hyperlink" Target="http://www.hsa.gov.sg/content/hsa/en.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moh.gov.my/english.php" TargetMode="External"/><Relationship Id="rId17" Type="http://schemas.openxmlformats.org/officeDocument/2006/relationships/hyperlink" Target="https://www.moh.gov.sg/index.html" TargetMode="External"/><Relationship Id="rId2" Type="http://schemas.openxmlformats.org/officeDocument/2006/relationships/numbering" Target="numbering.xml"/><Relationship Id="rId16" Type="http://schemas.openxmlformats.org/officeDocument/2006/relationships/hyperlink" Target="http://www.pom.go.id/index.php/home/" TargetMode="External"/><Relationship Id="rId20" Type="http://schemas.openxmlformats.org/officeDocument/2006/relationships/hyperlink" Target="http://www.ava.gov.sg/"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fda.moph.go.th/eng/index.stm" TargetMode="External"/><Relationship Id="rId5" Type="http://schemas.openxmlformats.org/officeDocument/2006/relationships/settings" Target="settings.xml"/><Relationship Id="rId15" Type="http://schemas.openxmlformats.org/officeDocument/2006/relationships/hyperlink" Target="http://www.depkes.go.id/index.php" TargetMode="External"/><Relationship Id="rId23" Type="http://schemas.openxmlformats.org/officeDocument/2006/relationships/theme" Target="theme/theme1.xml"/><Relationship Id="rId10" Type="http://schemas.openxmlformats.org/officeDocument/2006/relationships/hyperlink" Target="http://eng.moph.go.th/" TargetMode="External"/><Relationship Id="rId19" Type="http://schemas.openxmlformats.org/officeDocument/2006/relationships/hyperlink" Target="http://www.healthprofessionals.gov.sg/content/hprof/tcmpb/en.html" TargetMode="External"/><Relationship Id="rId4" Type="http://schemas.microsoft.com/office/2007/relationships/stylesWithEffects" Target="stylesWithEffects.xml"/><Relationship Id="rId9" Type="http://schemas.openxmlformats.org/officeDocument/2006/relationships/hyperlink" Target="http://www.ey.com/GL/en/Services/Tax/Worldwide-VAT-GST-Sales-Tax-Guide---Country-list" TargetMode="External"/><Relationship Id="rId14" Type="http://schemas.openxmlformats.org/officeDocument/2006/relationships/hyperlink" Target="http://npra.moh.gov.my/"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1235</Words>
  <Characters>7040</Characters>
  <Application>Microsoft Office Word</Application>
  <DocSecurity>0</DocSecurity>
  <Lines>58</Lines>
  <Paragraphs>16</Paragraphs>
  <ScaleCrop>false</ScaleCrop>
  <Company>MOEA</Company>
  <LinksUpToDate>false</LinksUpToDate>
  <CharactersWithSpaces>8259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許美玲</dc:creator>
  <cp:lastModifiedBy>許美玲</cp:lastModifiedBy>
  <cp:revision>2</cp:revision>
  <cp:lastPrinted>2016-10-18T07:13:00Z</cp:lastPrinted>
  <dcterms:created xsi:type="dcterms:W3CDTF">2016-10-24T08:24:00Z</dcterms:created>
  <dcterms:modified xsi:type="dcterms:W3CDTF">2016-10-24T08:24:00Z</dcterms:modified>
</cp:coreProperties>
</file>