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955" w:rsidRPr="008056F1" w:rsidRDefault="008056F1" w:rsidP="008056F1">
      <w:pPr>
        <w:spacing w:line="500" w:lineRule="exact"/>
        <w:jc w:val="center"/>
        <w:rPr>
          <w:rFonts w:ascii="標楷體" w:eastAsia="標楷體" w:hAnsi="標楷體"/>
          <w:b/>
          <w:sz w:val="28"/>
          <w:szCs w:val="28"/>
        </w:rPr>
      </w:pPr>
      <w:r w:rsidRPr="008056F1">
        <w:rPr>
          <w:rFonts w:ascii="標楷體" w:eastAsia="標楷體" w:hAnsi="標楷體" w:hint="eastAsia"/>
          <w:b/>
          <w:sz w:val="28"/>
          <w:szCs w:val="28"/>
        </w:rPr>
        <w:t>資通安全管理法草案意見表</w:t>
      </w:r>
    </w:p>
    <w:p w:rsidR="00C96955" w:rsidRPr="008056F1" w:rsidRDefault="00C96955" w:rsidP="00C96955">
      <w:pPr>
        <w:pStyle w:val="a9"/>
        <w:spacing w:line="500" w:lineRule="exact"/>
        <w:ind w:leftChars="0"/>
        <w:jc w:val="right"/>
        <w:rPr>
          <w:rFonts w:ascii="標楷體" w:eastAsia="標楷體" w:hAnsi="標楷體"/>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3260"/>
        <w:gridCol w:w="2517"/>
      </w:tblGrid>
      <w:tr w:rsidR="008056F1" w:rsidRPr="008056F1" w:rsidTr="0073191D">
        <w:trPr>
          <w:tblHeader/>
        </w:trPr>
        <w:tc>
          <w:tcPr>
            <w:tcW w:w="2069" w:type="pct"/>
          </w:tcPr>
          <w:p w:rsidR="008056F1" w:rsidRPr="008056F1" w:rsidRDefault="008056F1" w:rsidP="008056F1">
            <w:pPr>
              <w:spacing w:beforeLines="20" w:before="72" w:line="400" w:lineRule="exact"/>
              <w:jc w:val="center"/>
              <w:rPr>
                <w:rFonts w:ascii="標楷體" w:eastAsia="標楷體" w:hAnsi="標楷體"/>
                <w:b/>
                <w:sz w:val="28"/>
                <w:szCs w:val="28"/>
              </w:rPr>
            </w:pPr>
            <w:r w:rsidRPr="008056F1">
              <w:rPr>
                <w:rFonts w:ascii="標楷體" w:eastAsia="標楷體" w:hAnsi="標楷體" w:hint="eastAsia"/>
                <w:b/>
                <w:sz w:val="28"/>
                <w:szCs w:val="28"/>
              </w:rPr>
              <w:t>法條</w:t>
            </w:r>
          </w:p>
        </w:tc>
        <w:tc>
          <w:tcPr>
            <w:tcW w:w="1654" w:type="pct"/>
          </w:tcPr>
          <w:p w:rsidR="008056F1" w:rsidRPr="008056F1" w:rsidRDefault="008056F1" w:rsidP="008056F1">
            <w:pPr>
              <w:spacing w:beforeLines="20" w:before="72" w:line="400" w:lineRule="exact"/>
              <w:jc w:val="center"/>
              <w:rPr>
                <w:rFonts w:ascii="標楷體" w:eastAsia="標楷體" w:hAnsi="標楷體" w:hint="eastAsia"/>
                <w:b/>
                <w:sz w:val="28"/>
                <w:szCs w:val="28"/>
              </w:rPr>
            </w:pPr>
            <w:r w:rsidRPr="008056F1">
              <w:rPr>
                <w:rFonts w:ascii="標楷體" w:eastAsia="標楷體" w:hAnsi="標楷體" w:hint="eastAsia"/>
                <w:b/>
                <w:sz w:val="28"/>
                <w:szCs w:val="28"/>
              </w:rPr>
              <w:t>修訂意見</w:t>
            </w:r>
          </w:p>
        </w:tc>
        <w:tc>
          <w:tcPr>
            <w:tcW w:w="1277" w:type="pct"/>
          </w:tcPr>
          <w:p w:rsidR="008056F1" w:rsidRPr="008056F1" w:rsidRDefault="0073191D" w:rsidP="008056F1">
            <w:pPr>
              <w:spacing w:beforeLines="20" w:before="72" w:line="400" w:lineRule="exact"/>
              <w:jc w:val="center"/>
              <w:rPr>
                <w:rFonts w:ascii="標楷體" w:eastAsia="標楷體" w:hAnsi="標楷體"/>
                <w:b/>
                <w:sz w:val="28"/>
                <w:szCs w:val="28"/>
              </w:rPr>
            </w:pPr>
            <w:r w:rsidRPr="008056F1">
              <w:rPr>
                <w:rFonts w:ascii="標楷體" w:eastAsia="標楷體" w:hAnsi="標楷體" w:hint="eastAsia"/>
                <w:b/>
                <w:sz w:val="28"/>
                <w:szCs w:val="28"/>
              </w:rPr>
              <w:t>修訂意見</w:t>
            </w:r>
            <w:bookmarkStart w:id="0" w:name="_GoBack"/>
            <w:bookmarkEnd w:id="0"/>
            <w:r w:rsidR="008056F1" w:rsidRPr="008056F1">
              <w:rPr>
                <w:rFonts w:ascii="標楷體" w:eastAsia="標楷體" w:hAnsi="標楷體" w:hint="eastAsia"/>
                <w:b/>
                <w:sz w:val="28"/>
                <w:szCs w:val="28"/>
              </w:rPr>
              <w:t>說明</w:t>
            </w:r>
          </w:p>
        </w:tc>
      </w:tr>
      <w:tr w:rsidR="008056F1" w:rsidRPr="008056F1" w:rsidTr="008056F1">
        <w:tc>
          <w:tcPr>
            <w:tcW w:w="5000" w:type="pct"/>
            <w:gridSpan w:val="3"/>
          </w:tcPr>
          <w:p w:rsidR="008056F1" w:rsidRPr="008056F1" w:rsidRDefault="008056F1" w:rsidP="008056F1">
            <w:pPr>
              <w:spacing w:beforeLines="20" w:before="72" w:line="400" w:lineRule="exact"/>
              <w:jc w:val="center"/>
              <w:rPr>
                <w:rFonts w:ascii="標楷體" w:eastAsia="標楷體" w:hAnsi="標楷體"/>
                <w:sz w:val="28"/>
                <w:szCs w:val="28"/>
              </w:rPr>
            </w:pPr>
            <w:r w:rsidRPr="008056F1">
              <w:rPr>
                <w:rFonts w:ascii="標楷體" w:eastAsia="標楷體" w:hAnsi="標楷體" w:hint="eastAsia"/>
                <w:b/>
                <w:sz w:val="28"/>
                <w:szCs w:val="28"/>
              </w:rPr>
              <w:t>第一章</w:t>
            </w:r>
            <w:r w:rsidRPr="008056F1">
              <w:rPr>
                <w:rFonts w:ascii="標楷體" w:eastAsia="標楷體" w:hAnsi="標楷體"/>
                <w:b/>
                <w:sz w:val="28"/>
                <w:szCs w:val="28"/>
              </w:rPr>
              <w:t xml:space="preserve">  </w:t>
            </w:r>
            <w:r w:rsidRPr="008056F1">
              <w:rPr>
                <w:rFonts w:ascii="標楷體" w:eastAsia="標楷體" w:hAnsi="標楷體" w:hint="eastAsia"/>
                <w:b/>
                <w:sz w:val="28"/>
                <w:szCs w:val="28"/>
              </w:rPr>
              <w:t>總則</w:t>
            </w: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t>為積極推動國家資通安全政策及加速建構國家資通安全環境，以確保數位國土國家安全、民眾數位生活福祉及資通安全產業發展，特制定本法。</w:t>
            </w:r>
          </w:p>
        </w:tc>
        <w:tc>
          <w:tcPr>
            <w:tcW w:w="1654" w:type="pct"/>
          </w:tcPr>
          <w:p w:rsidR="008056F1" w:rsidRPr="008056F1" w:rsidRDefault="008056F1" w:rsidP="008056F1">
            <w:pPr>
              <w:spacing w:beforeLines="20" w:before="72" w:line="400" w:lineRule="exact"/>
              <w:ind w:leftChars="15" w:left="33"/>
              <w:rPr>
                <w:rFonts w:ascii="標楷體" w:eastAsia="標楷體" w:hAnsi="標楷體" w:hint="eastAsia"/>
                <w:sz w:val="28"/>
                <w:szCs w:val="28"/>
              </w:rPr>
            </w:pPr>
          </w:p>
        </w:tc>
        <w:tc>
          <w:tcPr>
            <w:tcW w:w="1277" w:type="pct"/>
          </w:tcPr>
          <w:p w:rsidR="008056F1" w:rsidRPr="008056F1" w:rsidRDefault="008056F1" w:rsidP="008056F1">
            <w:pPr>
              <w:spacing w:beforeLines="20" w:before="72" w:line="400" w:lineRule="exact"/>
              <w:ind w:leftChars="15" w:left="33"/>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proofErr w:type="gramStart"/>
            <w:r w:rsidRPr="008056F1">
              <w:rPr>
                <w:rFonts w:ascii="標楷體" w:eastAsia="標楷體" w:hAnsi="標楷體" w:hint="eastAsia"/>
                <w:sz w:val="28"/>
                <w:szCs w:val="28"/>
              </w:rPr>
              <w:t>本法用詞</w:t>
            </w:r>
            <w:proofErr w:type="gramEnd"/>
            <w:r w:rsidRPr="008056F1">
              <w:rPr>
                <w:rFonts w:ascii="標楷體" w:eastAsia="標楷體" w:hAnsi="標楷體" w:hint="eastAsia"/>
                <w:sz w:val="28"/>
                <w:szCs w:val="28"/>
              </w:rPr>
              <w:t>，定義如下：</w:t>
            </w:r>
          </w:p>
          <w:p w:rsidR="008056F1" w:rsidRPr="008056F1" w:rsidRDefault="008056F1" w:rsidP="00B32F75">
            <w:pPr>
              <w:numPr>
                <w:ilvl w:val="0"/>
                <w:numId w:val="2"/>
              </w:numPr>
              <w:spacing w:beforeLines="20" w:before="72" w:line="400" w:lineRule="exact"/>
              <w:ind w:left="1134" w:hanging="566"/>
              <w:rPr>
                <w:rFonts w:ascii="標楷體" w:eastAsia="標楷體" w:hAnsi="標楷體"/>
                <w:sz w:val="28"/>
                <w:szCs w:val="28"/>
              </w:rPr>
            </w:pPr>
            <w:r w:rsidRPr="008056F1">
              <w:rPr>
                <w:rFonts w:ascii="標楷體" w:eastAsia="標楷體" w:hAnsi="標楷體" w:hint="eastAsia"/>
                <w:sz w:val="28"/>
                <w:szCs w:val="28"/>
              </w:rPr>
              <w:t>資通系統：指蒐集、處理、控制、傳輸、儲存及流通資訊之資訊通信系統。</w:t>
            </w:r>
          </w:p>
          <w:p w:rsidR="008056F1" w:rsidRPr="008056F1" w:rsidRDefault="008056F1" w:rsidP="00B32F75">
            <w:pPr>
              <w:numPr>
                <w:ilvl w:val="0"/>
                <w:numId w:val="2"/>
              </w:numPr>
              <w:spacing w:beforeLines="20" w:before="72" w:line="400" w:lineRule="exact"/>
              <w:ind w:left="1134" w:hanging="566"/>
              <w:rPr>
                <w:rFonts w:ascii="標楷體" w:eastAsia="標楷體" w:hAnsi="標楷體"/>
                <w:sz w:val="28"/>
                <w:szCs w:val="28"/>
              </w:rPr>
            </w:pPr>
            <w:r w:rsidRPr="008056F1">
              <w:rPr>
                <w:rFonts w:ascii="標楷體" w:eastAsia="標楷體" w:hAnsi="標楷體" w:hint="eastAsia"/>
                <w:sz w:val="28"/>
                <w:szCs w:val="28"/>
              </w:rPr>
              <w:t>資通安全：指防止資通系統及透過其運作之資訊免於遭受未經授權之存取、使用、控制、洩漏、破壞、修改、銷毀或其他作為，以確保其機密性、完整性及可用性。</w:t>
            </w:r>
          </w:p>
          <w:p w:rsidR="008056F1" w:rsidRPr="008056F1" w:rsidRDefault="008056F1" w:rsidP="00B32F75">
            <w:pPr>
              <w:numPr>
                <w:ilvl w:val="0"/>
                <w:numId w:val="2"/>
              </w:numPr>
              <w:spacing w:beforeLines="20" w:before="72" w:line="400" w:lineRule="exact"/>
              <w:ind w:left="1134" w:hanging="566"/>
              <w:rPr>
                <w:rFonts w:ascii="標楷體" w:eastAsia="標楷體" w:hAnsi="標楷體"/>
                <w:sz w:val="28"/>
                <w:szCs w:val="28"/>
              </w:rPr>
            </w:pPr>
            <w:r w:rsidRPr="008056F1">
              <w:rPr>
                <w:rFonts w:ascii="標楷體" w:eastAsia="標楷體" w:hAnsi="標楷體" w:hint="eastAsia"/>
                <w:sz w:val="28"/>
                <w:szCs w:val="28"/>
              </w:rPr>
              <w:t>資通安全風險：</w:t>
            </w:r>
            <w:proofErr w:type="gramStart"/>
            <w:r w:rsidRPr="008056F1">
              <w:rPr>
                <w:rFonts w:ascii="標楷體" w:eastAsia="標楷體" w:hAnsi="標楷體" w:hint="eastAsia"/>
                <w:sz w:val="28"/>
                <w:szCs w:val="28"/>
              </w:rPr>
              <w:t>指資通</w:t>
            </w:r>
            <w:proofErr w:type="gramEnd"/>
            <w:r w:rsidRPr="008056F1">
              <w:rPr>
                <w:rFonts w:ascii="標楷體" w:eastAsia="標楷體" w:hAnsi="標楷體" w:hint="eastAsia"/>
                <w:sz w:val="28"/>
                <w:szCs w:val="28"/>
              </w:rPr>
              <w:t>系統及透過其運作之資訊發生未經授權之存取、使用、控制、洩漏、破壞、修改、銷毀或其他作為之可能性及衝擊性。</w:t>
            </w:r>
          </w:p>
          <w:p w:rsidR="008056F1" w:rsidRPr="008056F1" w:rsidRDefault="008056F1" w:rsidP="00B32F75">
            <w:pPr>
              <w:numPr>
                <w:ilvl w:val="0"/>
                <w:numId w:val="2"/>
              </w:numPr>
              <w:spacing w:beforeLines="20" w:before="72" w:line="400" w:lineRule="exact"/>
              <w:ind w:left="1134" w:hanging="566"/>
              <w:rPr>
                <w:rFonts w:ascii="標楷體" w:eastAsia="標楷體" w:hAnsi="標楷體"/>
                <w:sz w:val="28"/>
                <w:szCs w:val="28"/>
              </w:rPr>
            </w:pPr>
            <w:r w:rsidRPr="008056F1">
              <w:rPr>
                <w:rFonts w:ascii="標楷體" w:eastAsia="標楷體" w:hAnsi="標楷體" w:hint="eastAsia"/>
                <w:sz w:val="28"/>
                <w:szCs w:val="28"/>
              </w:rPr>
              <w:t>公務機關：指依法行使公權力之中央或地方機關或行政法人。</w:t>
            </w:r>
          </w:p>
          <w:p w:rsidR="008056F1" w:rsidRPr="008056F1" w:rsidRDefault="008056F1" w:rsidP="00B32F75">
            <w:pPr>
              <w:numPr>
                <w:ilvl w:val="0"/>
                <w:numId w:val="2"/>
              </w:numPr>
              <w:spacing w:beforeLines="20" w:before="72" w:line="400" w:lineRule="exact"/>
              <w:ind w:left="1134" w:hanging="566"/>
              <w:rPr>
                <w:rFonts w:ascii="標楷體" w:eastAsia="標楷體" w:hAnsi="標楷體"/>
                <w:sz w:val="28"/>
                <w:szCs w:val="28"/>
              </w:rPr>
            </w:pPr>
            <w:r w:rsidRPr="008056F1">
              <w:rPr>
                <w:rFonts w:ascii="標楷體" w:eastAsia="標楷體" w:hAnsi="標楷體" w:hint="eastAsia"/>
                <w:sz w:val="28"/>
                <w:szCs w:val="28"/>
              </w:rPr>
              <w:lastRenderedPageBreak/>
              <w:t>非公務機關：指本法所稱之公務機關以外的法人或團體。</w:t>
            </w:r>
          </w:p>
          <w:p w:rsidR="008056F1" w:rsidRPr="008056F1" w:rsidRDefault="008056F1" w:rsidP="00B32F75">
            <w:pPr>
              <w:numPr>
                <w:ilvl w:val="0"/>
                <w:numId w:val="2"/>
              </w:numPr>
              <w:spacing w:beforeLines="20" w:before="72" w:line="400" w:lineRule="exact"/>
              <w:ind w:left="1134" w:hanging="566"/>
              <w:rPr>
                <w:rFonts w:ascii="標楷體" w:eastAsia="標楷體" w:hAnsi="標楷體"/>
                <w:sz w:val="28"/>
                <w:szCs w:val="28"/>
              </w:rPr>
            </w:pPr>
            <w:r w:rsidRPr="008056F1">
              <w:rPr>
                <w:rFonts w:ascii="標楷體" w:eastAsia="標楷體" w:hAnsi="標楷體" w:hint="eastAsia"/>
                <w:sz w:val="28"/>
                <w:szCs w:val="28"/>
              </w:rPr>
              <w:t>關鍵基礎設施：指對國民生活及經濟活動具高度重要性之實體或虛擬資產、系統或網路，且其功能一旦停止運作或效能降低，將可能對國民生活、經濟活動、公眾安全或國家安全造成重大影響，包含能源、水資源、通訊傳播、交通、金融、緊急救援與醫院等重要設施。</w:t>
            </w:r>
          </w:p>
        </w:tc>
        <w:tc>
          <w:tcPr>
            <w:tcW w:w="1654" w:type="pct"/>
          </w:tcPr>
          <w:p w:rsidR="008056F1" w:rsidRPr="008056F1" w:rsidRDefault="008056F1" w:rsidP="008056F1">
            <w:pPr>
              <w:spacing w:beforeLines="20" w:before="72" w:line="400" w:lineRule="exact"/>
              <w:ind w:left="599"/>
              <w:rPr>
                <w:rFonts w:ascii="標楷體" w:eastAsia="標楷體" w:hAnsi="標楷體"/>
                <w:sz w:val="28"/>
                <w:szCs w:val="28"/>
              </w:rPr>
            </w:pPr>
          </w:p>
        </w:tc>
        <w:tc>
          <w:tcPr>
            <w:tcW w:w="1277" w:type="pct"/>
          </w:tcPr>
          <w:p w:rsidR="008056F1" w:rsidRPr="008056F1" w:rsidRDefault="008056F1" w:rsidP="008056F1">
            <w:pPr>
              <w:spacing w:beforeLines="20" w:before="72" w:line="400" w:lineRule="exact"/>
              <w:ind w:left="599"/>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lastRenderedPageBreak/>
              <w:t>本法所稱主管機關為科技部。</w:t>
            </w:r>
          </w:p>
        </w:tc>
        <w:tc>
          <w:tcPr>
            <w:tcW w:w="1654" w:type="pct"/>
          </w:tcPr>
          <w:p w:rsidR="008056F1" w:rsidRPr="008056F1" w:rsidRDefault="008056F1" w:rsidP="00B32F75">
            <w:pPr>
              <w:spacing w:beforeLines="20" w:before="72" w:line="400" w:lineRule="exact"/>
              <w:ind w:leftChars="15" w:left="33"/>
              <w:rPr>
                <w:rFonts w:ascii="標楷體" w:eastAsia="標楷體" w:hAnsi="標楷體" w:hint="eastAsia"/>
                <w:sz w:val="28"/>
                <w:szCs w:val="28"/>
              </w:rPr>
            </w:pPr>
          </w:p>
        </w:tc>
        <w:tc>
          <w:tcPr>
            <w:tcW w:w="1277" w:type="pct"/>
          </w:tcPr>
          <w:p w:rsidR="008056F1" w:rsidRPr="008056F1" w:rsidRDefault="008056F1" w:rsidP="00B32F75">
            <w:pPr>
              <w:spacing w:beforeLines="20" w:before="72" w:line="400" w:lineRule="exact"/>
              <w:ind w:leftChars="15" w:left="33"/>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cs="細明體"/>
                <w:kern w:val="0"/>
                <w:sz w:val="28"/>
                <w:szCs w:val="28"/>
              </w:rPr>
            </w:pPr>
            <w:r w:rsidRPr="008056F1">
              <w:rPr>
                <w:rFonts w:ascii="標楷體" w:eastAsia="標楷體" w:hAnsi="標楷體" w:cs="細明體" w:hint="eastAsia"/>
                <w:kern w:val="0"/>
                <w:sz w:val="28"/>
                <w:szCs w:val="28"/>
              </w:rPr>
              <w:t>本法所定事項，主管機關及中央目的事業主管機關應就其權責範圍，針對資通安全政策之推動，主動規劃所需措施，對涉及相關機關之資通安全業務，應全力配合之。</w:t>
            </w:r>
          </w:p>
          <w:p w:rsidR="008056F1" w:rsidRPr="008056F1" w:rsidRDefault="008056F1" w:rsidP="00B32F75">
            <w:pPr>
              <w:spacing w:beforeLines="20" w:before="72" w:line="400" w:lineRule="exact"/>
              <w:ind w:leftChars="129" w:left="284" w:firstLineChars="200" w:firstLine="560"/>
              <w:rPr>
                <w:rFonts w:ascii="標楷體" w:eastAsia="標楷體" w:hAnsi="標楷體" w:cs="細明體"/>
                <w:kern w:val="0"/>
                <w:sz w:val="28"/>
                <w:szCs w:val="28"/>
              </w:rPr>
            </w:pPr>
            <w:r w:rsidRPr="008056F1">
              <w:rPr>
                <w:rFonts w:ascii="標楷體" w:eastAsia="標楷體" w:hAnsi="標楷體" w:cs="細明體" w:hint="eastAsia"/>
                <w:kern w:val="0"/>
                <w:sz w:val="28"/>
                <w:szCs w:val="28"/>
              </w:rPr>
              <w:t>主管機關及中央目的事業</w:t>
            </w:r>
            <w:proofErr w:type="gramStart"/>
            <w:r w:rsidRPr="008056F1">
              <w:rPr>
                <w:rFonts w:ascii="標楷體" w:eastAsia="標楷體" w:hAnsi="標楷體" w:cs="細明體" w:hint="eastAsia"/>
                <w:kern w:val="0"/>
                <w:sz w:val="28"/>
                <w:szCs w:val="28"/>
              </w:rPr>
              <w:t>主管機關均應辦理</w:t>
            </w:r>
            <w:proofErr w:type="gramEnd"/>
            <w:r w:rsidRPr="008056F1">
              <w:rPr>
                <w:rFonts w:ascii="標楷體" w:eastAsia="標楷體" w:hAnsi="標楷體" w:cs="細明體" w:hint="eastAsia"/>
                <w:kern w:val="0"/>
                <w:sz w:val="28"/>
                <w:szCs w:val="28"/>
              </w:rPr>
              <w:t>資通安全政策相關事項；其權責劃分如下：</w:t>
            </w:r>
          </w:p>
          <w:p w:rsidR="008056F1" w:rsidRPr="008056F1" w:rsidRDefault="008056F1" w:rsidP="00B32F75">
            <w:pPr>
              <w:numPr>
                <w:ilvl w:val="0"/>
                <w:numId w:val="5"/>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主管機關：主管公務機關</w:t>
            </w:r>
            <w:r w:rsidRPr="008056F1">
              <w:rPr>
                <w:rFonts w:ascii="標楷體" w:eastAsia="標楷體" w:hAnsi="標楷體" w:cs="細明體" w:hint="eastAsia"/>
                <w:kern w:val="0"/>
                <w:sz w:val="28"/>
                <w:szCs w:val="28"/>
              </w:rPr>
              <w:t>資通安全整體防護</w:t>
            </w:r>
            <w:r w:rsidRPr="008056F1">
              <w:rPr>
                <w:rFonts w:ascii="標楷體" w:eastAsia="標楷體" w:hAnsi="標楷體" w:hint="eastAsia"/>
                <w:sz w:val="28"/>
                <w:szCs w:val="28"/>
              </w:rPr>
              <w:t>、資通安全科技發展及國際交流合作等相關事</w:t>
            </w:r>
            <w:r w:rsidRPr="008056F1">
              <w:rPr>
                <w:rFonts w:ascii="標楷體" w:eastAsia="標楷體" w:hAnsi="標楷體" w:hint="eastAsia"/>
                <w:sz w:val="28"/>
                <w:szCs w:val="28"/>
              </w:rPr>
              <w:lastRenderedPageBreak/>
              <w:t>宜。</w:t>
            </w:r>
          </w:p>
          <w:p w:rsidR="008056F1" w:rsidRPr="008056F1" w:rsidRDefault="008056F1" w:rsidP="00B32F75">
            <w:pPr>
              <w:numPr>
                <w:ilvl w:val="0"/>
                <w:numId w:val="5"/>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教育主管機關：主管</w:t>
            </w:r>
            <w:r w:rsidRPr="008056F1">
              <w:rPr>
                <w:rFonts w:ascii="標楷體" w:eastAsia="標楷體" w:hAnsi="標楷體" w:cs="細明體" w:hint="eastAsia"/>
                <w:kern w:val="0"/>
                <w:sz w:val="28"/>
                <w:szCs w:val="28"/>
              </w:rPr>
              <w:t>資通安全相關人才之培育、國民資通安全意識之提升</w:t>
            </w:r>
            <w:r w:rsidRPr="008056F1">
              <w:rPr>
                <w:rFonts w:ascii="標楷體" w:eastAsia="標楷體" w:hAnsi="標楷體" w:hint="eastAsia"/>
                <w:sz w:val="28"/>
                <w:szCs w:val="28"/>
              </w:rPr>
              <w:t>等相關事宜。</w:t>
            </w:r>
          </w:p>
          <w:p w:rsidR="008056F1" w:rsidRPr="008056F1" w:rsidRDefault="008056F1" w:rsidP="00B32F75">
            <w:pPr>
              <w:numPr>
                <w:ilvl w:val="0"/>
                <w:numId w:val="5"/>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法務與警政主管機關：主管電腦網路犯罪防制、偵查及法制等相關事宜。</w:t>
            </w:r>
          </w:p>
          <w:p w:rsidR="008056F1" w:rsidRPr="008056F1" w:rsidRDefault="008056F1" w:rsidP="00B32F75">
            <w:pPr>
              <w:numPr>
                <w:ilvl w:val="0"/>
                <w:numId w:val="5"/>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通訊傳播主管機關：主管電信基礎設施安全等相關事宜。</w:t>
            </w:r>
          </w:p>
          <w:p w:rsidR="008056F1" w:rsidRPr="008056F1" w:rsidRDefault="008056F1" w:rsidP="00B32F75">
            <w:pPr>
              <w:numPr>
                <w:ilvl w:val="0"/>
                <w:numId w:val="5"/>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經濟主管機關：主管資通安全產業發展等相關事宜。</w:t>
            </w:r>
          </w:p>
          <w:p w:rsidR="008056F1" w:rsidRPr="008056F1" w:rsidRDefault="008056F1" w:rsidP="00B32F75">
            <w:pPr>
              <w:numPr>
                <w:ilvl w:val="0"/>
                <w:numId w:val="5"/>
              </w:numPr>
              <w:spacing w:beforeLines="20" w:before="72" w:line="400" w:lineRule="exact"/>
              <w:ind w:left="966" w:hanging="630"/>
              <w:rPr>
                <w:rFonts w:ascii="標楷體" w:eastAsia="標楷體" w:hAnsi="標楷體"/>
                <w:sz w:val="28"/>
                <w:szCs w:val="28"/>
              </w:rPr>
            </w:pPr>
            <w:proofErr w:type="gramStart"/>
            <w:r w:rsidRPr="008056F1">
              <w:rPr>
                <w:rFonts w:ascii="標楷體" w:eastAsia="標楷體" w:hAnsi="標楷體" w:hint="eastAsia"/>
                <w:sz w:val="28"/>
                <w:szCs w:val="28"/>
              </w:rPr>
              <w:t>其他</w:t>
            </w:r>
            <w:r w:rsidRPr="008056F1">
              <w:rPr>
                <w:rFonts w:ascii="標楷體" w:eastAsia="標楷體" w:hAnsi="標楷體" w:cs="細明體" w:hint="eastAsia"/>
                <w:kern w:val="0"/>
                <w:sz w:val="28"/>
                <w:szCs w:val="28"/>
              </w:rPr>
              <w:t>資</w:t>
            </w:r>
            <w:proofErr w:type="gramEnd"/>
            <w:r w:rsidRPr="008056F1">
              <w:rPr>
                <w:rFonts w:ascii="標楷體" w:eastAsia="標楷體" w:hAnsi="標楷體" w:cs="細明體" w:hint="eastAsia"/>
                <w:kern w:val="0"/>
                <w:sz w:val="28"/>
                <w:szCs w:val="28"/>
              </w:rPr>
              <w:t>通安全政策相關事宜</w:t>
            </w:r>
            <w:r w:rsidRPr="008056F1">
              <w:rPr>
                <w:rFonts w:ascii="標楷體" w:eastAsia="標楷體" w:hAnsi="標楷體" w:hint="eastAsia"/>
                <w:sz w:val="28"/>
                <w:szCs w:val="28"/>
              </w:rPr>
              <w:t>，由相關目的事業主管機關依職權辦理。</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有關非公務機關資通安全維護業務之指導、監督及管理，由其所屬中央目的事業主管機關辦理。</w:t>
            </w:r>
          </w:p>
        </w:tc>
        <w:tc>
          <w:tcPr>
            <w:tcW w:w="1654" w:type="pct"/>
          </w:tcPr>
          <w:p w:rsidR="008056F1" w:rsidRPr="008056F1" w:rsidRDefault="008056F1" w:rsidP="008056F1">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8056F1">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lastRenderedPageBreak/>
              <w:t>公務機關或非公務機關之資通服務委外時，於本法適用範圍，應監督受託者資通安全之維護</w:t>
            </w:r>
            <w:r w:rsidRPr="008056F1">
              <w:rPr>
                <w:rFonts w:ascii="標楷體" w:eastAsia="標楷體" w:hAnsi="標楷體"/>
                <w:sz w:val="28"/>
                <w:szCs w:val="28"/>
                <w:vertAlign w:val="superscript"/>
              </w:rPr>
              <w:t>*</w:t>
            </w:r>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308"/>
              <w:rPr>
                <w:rFonts w:ascii="標楷體" w:eastAsia="標楷體" w:hAnsi="標楷體"/>
                <w:sz w:val="28"/>
                <w:szCs w:val="28"/>
              </w:rPr>
            </w:pPr>
            <w:r w:rsidRPr="008056F1">
              <w:rPr>
                <w:rFonts w:ascii="標楷體" w:eastAsia="標楷體" w:hAnsi="標楷體"/>
                <w:sz w:val="28"/>
                <w:szCs w:val="28"/>
              </w:rPr>
              <w:t>公務機關</w:t>
            </w:r>
            <w:r w:rsidRPr="008056F1">
              <w:rPr>
                <w:rFonts w:ascii="標楷體" w:eastAsia="標楷體" w:hAnsi="標楷體" w:hint="eastAsia"/>
                <w:sz w:val="28"/>
                <w:szCs w:val="28"/>
              </w:rPr>
              <w:t>之資通服務委外時，</w:t>
            </w:r>
            <w:proofErr w:type="gramStart"/>
            <w:r w:rsidRPr="008056F1">
              <w:rPr>
                <w:rFonts w:ascii="標楷體" w:eastAsia="標楷體" w:hAnsi="標楷體" w:hint="eastAsia"/>
                <w:sz w:val="28"/>
                <w:szCs w:val="28"/>
              </w:rPr>
              <w:t>應依資通</w:t>
            </w:r>
            <w:proofErr w:type="gramEnd"/>
            <w:r w:rsidRPr="008056F1">
              <w:rPr>
                <w:rFonts w:ascii="標楷體" w:eastAsia="標楷體" w:hAnsi="標楷體" w:hint="eastAsia"/>
                <w:sz w:val="28"/>
                <w:szCs w:val="28"/>
              </w:rPr>
              <w:t>服務之性質與資通安全防護需求，選任適當之受託者。</w:t>
            </w:r>
          </w:p>
          <w:p w:rsidR="008056F1" w:rsidRPr="008056F1" w:rsidRDefault="008056F1" w:rsidP="00B32F75">
            <w:pPr>
              <w:spacing w:beforeLines="20" w:before="72" w:line="400" w:lineRule="exact"/>
              <w:ind w:left="308"/>
              <w:rPr>
                <w:rFonts w:ascii="標楷體" w:eastAsia="標楷體" w:hAnsi="標楷體"/>
                <w:sz w:val="28"/>
                <w:szCs w:val="28"/>
              </w:rPr>
            </w:pPr>
          </w:p>
        </w:tc>
        <w:tc>
          <w:tcPr>
            <w:tcW w:w="1654" w:type="pct"/>
          </w:tcPr>
          <w:p w:rsidR="008056F1" w:rsidRPr="008056F1" w:rsidRDefault="008056F1" w:rsidP="008056F1">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8056F1">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lastRenderedPageBreak/>
              <w:t>主管機關得設置資通安全管理暨發展基金；其資金來源如下：</w:t>
            </w:r>
          </w:p>
          <w:p w:rsidR="008056F1" w:rsidRPr="008056F1" w:rsidRDefault="008056F1" w:rsidP="00B32F75">
            <w:pPr>
              <w:numPr>
                <w:ilvl w:val="0"/>
                <w:numId w:val="33"/>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政府預算程序之撥款。</w:t>
            </w:r>
          </w:p>
          <w:p w:rsidR="008056F1" w:rsidRPr="008056F1" w:rsidRDefault="008056F1" w:rsidP="00B32F75">
            <w:pPr>
              <w:numPr>
                <w:ilvl w:val="0"/>
                <w:numId w:val="33"/>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違反本法罰鍰之部分</w:t>
            </w:r>
            <w:proofErr w:type="gramStart"/>
            <w:r w:rsidRPr="008056F1">
              <w:rPr>
                <w:rFonts w:ascii="標楷體" w:eastAsia="標楷體" w:hAnsi="標楷體" w:hint="eastAsia"/>
                <w:sz w:val="28"/>
                <w:szCs w:val="28"/>
              </w:rPr>
              <w:t>提撥</w:t>
            </w:r>
            <w:proofErr w:type="gramEnd"/>
            <w:r w:rsidRPr="008056F1">
              <w:rPr>
                <w:rFonts w:ascii="標楷體" w:eastAsia="標楷體" w:hAnsi="標楷體" w:hint="eastAsia"/>
                <w:sz w:val="28"/>
                <w:szCs w:val="28"/>
              </w:rPr>
              <w:t>。</w:t>
            </w:r>
          </w:p>
          <w:p w:rsidR="008056F1" w:rsidRPr="008056F1" w:rsidRDefault="008056F1" w:rsidP="00B32F75">
            <w:pPr>
              <w:numPr>
                <w:ilvl w:val="0"/>
                <w:numId w:val="33"/>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基金孳息收入。</w:t>
            </w:r>
          </w:p>
          <w:p w:rsidR="008056F1" w:rsidRPr="008056F1" w:rsidRDefault="008056F1" w:rsidP="00B32F75">
            <w:pPr>
              <w:numPr>
                <w:ilvl w:val="0"/>
                <w:numId w:val="33"/>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捐贈收入。</w:t>
            </w:r>
          </w:p>
          <w:p w:rsidR="008056F1" w:rsidRPr="008056F1" w:rsidRDefault="008056F1" w:rsidP="00B32F75">
            <w:pPr>
              <w:numPr>
                <w:ilvl w:val="0"/>
                <w:numId w:val="33"/>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其他有關收入。</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前項基金之用途係用以支應創新、前瞻性或跨部會之資通安全支出，其範圍如下：</w:t>
            </w:r>
          </w:p>
          <w:p w:rsidR="008056F1" w:rsidRPr="008056F1" w:rsidRDefault="008056F1" w:rsidP="00B32F75">
            <w:pPr>
              <w:numPr>
                <w:ilvl w:val="0"/>
                <w:numId w:val="47"/>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資通安全專業人才之培育與全民資通安全意識之提升。</w:t>
            </w:r>
          </w:p>
          <w:p w:rsidR="008056F1" w:rsidRPr="008056F1" w:rsidRDefault="008056F1" w:rsidP="00B32F75">
            <w:pPr>
              <w:numPr>
                <w:ilvl w:val="0"/>
                <w:numId w:val="47"/>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資通安全專業人才認定標準之發展與推動。</w:t>
            </w:r>
          </w:p>
          <w:p w:rsidR="008056F1" w:rsidRPr="008056F1" w:rsidRDefault="008056F1" w:rsidP="00B32F75">
            <w:pPr>
              <w:numPr>
                <w:ilvl w:val="0"/>
                <w:numId w:val="47"/>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資通安全科技之研發、整合、應用、產學合作及國際交流合作之發展及推動。</w:t>
            </w:r>
          </w:p>
          <w:p w:rsidR="008056F1" w:rsidRPr="008056F1" w:rsidRDefault="008056F1" w:rsidP="00B32F75">
            <w:pPr>
              <w:numPr>
                <w:ilvl w:val="0"/>
                <w:numId w:val="47"/>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資通安全標準及其認驗證機制之發展及推動。</w:t>
            </w:r>
          </w:p>
          <w:p w:rsidR="008056F1" w:rsidRPr="008056F1" w:rsidRDefault="008056F1" w:rsidP="00B32F75">
            <w:pPr>
              <w:numPr>
                <w:ilvl w:val="0"/>
                <w:numId w:val="47"/>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資通安全軟體與設備技術規範及</w:t>
            </w:r>
            <w:proofErr w:type="gramStart"/>
            <w:r w:rsidRPr="008056F1">
              <w:rPr>
                <w:rFonts w:ascii="標楷體" w:eastAsia="標楷體" w:hAnsi="標楷體" w:hint="eastAsia"/>
                <w:sz w:val="28"/>
                <w:szCs w:val="28"/>
              </w:rPr>
              <w:t>其審驗</w:t>
            </w:r>
            <w:proofErr w:type="gramEnd"/>
            <w:r w:rsidRPr="008056F1">
              <w:rPr>
                <w:rFonts w:ascii="標楷體" w:eastAsia="標楷體" w:hAnsi="標楷體" w:hint="eastAsia"/>
                <w:sz w:val="28"/>
                <w:szCs w:val="28"/>
              </w:rPr>
              <w:t>機制之發展及推動。</w:t>
            </w:r>
          </w:p>
          <w:p w:rsidR="008056F1" w:rsidRPr="008056F1" w:rsidRDefault="008056F1" w:rsidP="00B32F75">
            <w:pPr>
              <w:numPr>
                <w:ilvl w:val="0"/>
                <w:numId w:val="47"/>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電腦網路犯罪防制、偵查及相關法制之推動。</w:t>
            </w:r>
          </w:p>
          <w:p w:rsidR="008056F1" w:rsidRPr="008056F1" w:rsidRDefault="008056F1" w:rsidP="00B32F75">
            <w:pPr>
              <w:numPr>
                <w:ilvl w:val="0"/>
                <w:numId w:val="47"/>
              </w:numPr>
              <w:spacing w:beforeLines="20" w:before="72" w:line="400" w:lineRule="exact"/>
              <w:ind w:left="966" w:hanging="630"/>
              <w:rPr>
                <w:rFonts w:ascii="標楷體" w:eastAsia="標楷體" w:hAnsi="標楷體"/>
                <w:sz w:val="28"/>
                <w:szCs w:val="28"/>
              </w:rPr>
            </w:pPr>
            <w:r w:rsidRPr="008056F1">
              <w:rPr>
                <w:rFonts w:ascii="標楷體" w:eastAsia="標楷體" w:hAnsi="標楷體"/>
                <w:sz w:val="28"/>
                <w:szCs w:val="28"/>
              </w:rPr>
              <w:t>資通</w:t>
            </w:r>
            <w:r w:rsidRPr="008056F1">
              <w:rPr>
                <w:rFonts w:ascii="標楷體" w:eastAsia="標楷體" w:hAnsi="標楷體" w:hint="eastAsia"/>
                <w:sz w:val="28"/>
                <w:szCs w:val="28"/>
              </w:rPr>
              <w:t>基礎設施安全之規劃及推動。</w:t>
            </w:r>
          </w:p>
          <w:p w:rsidR="008056F1" w:rsidRPr="008056F1" w:rsidRDefault="008056F1" w:rsidP="00B32F75">
            <w:pPr>
              <w:numPr>
                <w:ilvl w:val="0"/>
                <w:numId w:val="47"/>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其他經核定之支出。</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lastRenderedPageBreak/>
              <w:t>前二項基金收支、保管及運用辦法，由行政院定之</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另中央各機關及直轄市、縣</w:t>
            </w:r>
            <w:r w:rsidRPr="008056F1">
              <w:rPr>
                <w:rFonts w:ascii="標楷體" w:eastAsia="標楷體" w:hAnsi="標楷體"/>
                <w:sz w:val="28"/>
                <w:szCs w:val="28"/>
              </w:rPr>
              <w:t xml:space="preserve"> (</w:t>
            </w:r>
            <w:r w:rsidRPr="008056F1">
              <w:rPr>
                <w:rFonts w:ascii="標楷體" w:eastAsia="標楷體" w:hAnsi="標楷體" w:hint="eastAsia"/>
                <w:sz w:val="28"/>
                <w:szCs w:val="28"/>
              </w:rPr>
              <w:t>市</w:t>
            </w:r>
            <w:r w:rsidRPr="008056F1">
              <w:rPr>
                <w:rFonts w:ascii="標楷體" w:eastAsia="標楷體" w:hAnsi="標楷體"/>
                <w:sz w:val="28"/>
                <w:szCs w:val="28"/>
              </w:rPr>
              <w:t xml:space="preserve">) </w:t>
            </w:r>
            <w:r w:rsidRPr="008056F1">
              <w:rPr>
                <w:rFonts w:ascii="標楷體" w:eastAsia="標楷體" w:hAnsi="標楷體" w:hint="eastAsia"/>
                <w:sz w:val="28"/>
                <w:szCs w:val="28"/>
              </w:rPr>
              <w:t>政府無法支應重大資通安全事件之復原重建等經費時，得報請行政院核定後，由資通安全管理暨發展基金補助之，其補助之時機、要件、基準、請求程序及其他相關事項之辦法，由行政院定之</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tc>
        <w:tc>
          <w:tcPr>
            <w:tcW w:w="1654" w:type="pct"/>
          </w:tcPr>
          <w:p w:rsidR="008056F1" w:rsidRPr="008056F1" w:rsidRDefault="008056F1" w:rsidP="008056F1">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B32F75">
            <w:pPr>
              <w:spacing w:beforeLines="20" w:before="72" w:line="400" w:lineRule="exact"/>
              <w:rPr>
                <w:rFonts w:ascii="標楷體" w:eastAsia="標楷體" w:hAnsi="標楷體"/>
                <w:sz w:val="28"/>
                <w:szCs w:val="28"/>
              </w:rPr>
            </w:pPr>
          </w:p>
        </w:tc>
      </w:tr>
      <w:tr w:rsidR="008056F1" w:rsidRPr="008056F1" w:rsidTr="008056F1">
        <w:tblPrEx>
          <w:tblLook w:val="00A0" w:firstRow="1" w:lastRow="0" w:firstColumn="1" w:lastColumn="0" w:noHBand="0" w:noVBand="0"/>
        </w:tblPrEx>
        <w:tc>
          <w:tcPr>
            <w:tcW w:w="5000" w:type="pct"/>
            <w:gridSpan w:val="3"/>
          </w:tcPr>
          <w:p w:rsidR="008056F1" w:rsidRPr="008056F1" w:rsidRDefault="008056F1" w:rsidP="008056F1">
            <w:pPr>
              <w:spacing w:beforeLines="20" w:before="72" w:line="400" w:lineRule="exact"/>
              <w:ind w:left="611" w:hangingChars="218" w:hanging="611"/>
              <w:jc w:val="center"/>
              <w:rPr>
                <w:rFonts w:ascii="標楷體" w:eastAsia="標楷體" w:hAnsi="標楷體"/>
                <w:b/>
                <w:sz w:val="28"/>
                <w:szCs w:val="28"/>
              </w:rPr>
            </w:pPr>
            <w:r w:rsidRPr="002A5700">
              <w:rPr>
                <w:rFonts w:ascii="標楷體" w:eastAsia="標楷體" w:hAnsi="標楷體" w:hint="eastAsia"/>
                <w:b/>
                <w:color w:val="000000" w:themeColor="text1"/>
                <w:sz w:val="28"/>
                <w:szCs w:val="28"/>
              </w:rPr>
              <w:lastRenderedPageBreak/>
              <w:t>第二章</w:t>
            </w:r>
            <w:r w:rsidRPr="002A5700">
              <w:rPr>
                <w:rFonts w:ascii="標楷體" w:eastAsia="標楷體" w:hAnsi="標楷體"/>
                <w:b/>
                <w:color w:val="000000" w:themeColor="text1"/>
                <w:sz w:val="28"/>
                <w:szCs w:val="28"/>
              </w:rPr>
              <w:t xml:space="preserve">  </w:t>
            </w:r>
            <w:r w:rsidRPr="002A5700">
              <w:rPr>
                <w:rFonts w:ascii="標楷體" w:eastAsia="標楷體" w:hAnsi="標楷體" w:hint="eastAsia"/>
                <w:b/>
                <w:color w:val="000000" w:themeColor="text1"/>
                <w:sz w:val="28"/>
                <w:szCs w:val="28"/>
              </w:rPr>
              <w:t>資通安全推動組織</w:t>
            </w: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t>行政院為推動國家資通安全政策，應設國家資通安全會報，並設行政院資通安全辦公室，置專職人員，處理有關業務，其組織</w:t>
            </w:r>
            <w:r w:rsidRPr="008056F1">
              <w:rPr>
                <w:rFonts w:ascii="標楷體" w:eastAsia="標楷體" w:hAnsi="標楷體" w:cs="細明體" w:hint="eastAsia"/>
                <w:kern w:val="0"/>
                <w:sz w:val="28"/>
                <w:szCs w:val="28"/>
              </w:rPr>
              <w:t>由行政院定之。</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國家資通安全會報定期召開會議，其任務如下：</w:t>
            </w:r>
          </w:p>
          <w:p w:rsidR="008056F1" w:rsidRPr="008056F1" w:rsidRDefault="008056F1" w:rsidP="00B32F75">
            <w:pPr>
              <w:numPr>
                <w:ilvl w:val="0"/>
                <w:numId w:val="32"/>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國家資通安全政策之諮詢審議。</w:t>
            </w:r>
          </w:p>
          <w:p w:rsidR="008056F1" w:rsidRPr="008056F1" w:rsidRDefault="008056F1" w:rsidP="00B32F75">
            <w:pPr>
              <w:numPr>
                <w:ilvl w:val="0"/>
                <w:numId w:val="32"/>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國家資通安全通報應變機制之諮詢審議。</w:t>
            </w:r>
          </w:p>
          <w:p w:rsidR="008056F1" w:rsidRPr="008056F1" w:rsidRDefault="008056F1" w:rsidP="00B32F75">
            <w:pPr>
              <w:numPr>
                <w:ilvl w:val="0"/>
                <w:numId w:val="32"/>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國家資通安全重大計畫之諮詢審議。</w:t>
            </w:r>
          </w:p>
          <w:p w:rsidR="008056F1" w:rsidRPr="008056F1" w:rsidRDefault="008056F1" w:rsidP="00B32F75">
            <w:pPr>
              <w:numPr>
                <w:ilvl w:val="0"/>
                <w:numId w:val="32"/>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跨部會資通安全事務之協調及督導。</w:t>
            </w:r>
          </w:p>
          <w:p w:rsidR="008056F1" w:rsidRPr="008056F1" w:rsidRDefault="008056F1" w:rsidP="00B32F75">
            <w:pPr>
              <w:numPr>
                <w:ilvl w:val="0"/>
                <w:numId w:val="32"/>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每隔四年應就我國資通安全政策之實施狀況、政府投入資通安全之資源、資通安全人才之培</w:t>
            </w:r>
            <w:r w:rsidRPr="008056F1">
              <w:rPr>
                <w:rFonts w:ascii="標楷體" w:eastAsia="標楷體" w:hAnsi="標楷體" w:hint="eastAsia"/>
                <w:sz w:val="28"/>
                <w:szCs w:val="28"/>
              </w:rPr>
              <w:lastRenderedPageBreak/>
              <w:t>育、未來資通安全政策之規劃及其他有助於健全我國資安環境之事項，訂定資通安全發展方案，並視需要每年檢討發展方案及相關推動計畫，每隔二年發布資通安全政策白皮書。</w:t>
            </w:r>
          </w:p>
          <w:p w:rsidR="008056F1" w:rsidRPr="008056F1" w:rsidRDefault="008056F1" w:rsidP="00B32F75">
            <w:pPr>
              <w:numPr>
                <w:ilvl w:val="0"/>
                <w:numId w:val="32"/>
              </w:numPr>
              <w:spacing w:beforeLines="20" w:before="72" w:line="400" w:lineRule="exact"/>
              <w:ind w:left="966" w:hanging="630"/>
              <w:rPr>
                <w:rFonts w:ascii="標楷體" w:eastAsia="標楷體" w:hAnsi="標楷體"/>
                <w:b/>
                <w:sz w:val="28"/>
                <w:szCs w:val="28"/>
              </w:rPr>
            </w:pPr>
            <w:r w:rsidRPr="008056F1">
              <w:rPr>
                <w:rFonts w:ascii="標楷體" w:eastAsia="標楷體" w:hAnsi="標楷體" w:hint="eastAsia"/>
                <w:sz w:val="28"/>
                <w:szCs w:val="28"/>
              </w:rPr>
              <w:t>其他依法令所規定事項。</w:t>
            </w:r>
          </w:p>
        </w:tc>
        <w:tc>
          <w:tcPr>
            <w:tcW w:w="1654" w:type="pct"/>
          </w:tcPr>
          <w:p w:rsidR="008056F1" w:rsidRPr="008056F1" w:rsidRDefault="008056F1" w:rsidP="00B32F75">
            <w:pPr>
              <w:spacing w:beforeLines="20" w:before="72" w:line="400" w:lineRule="exact"/>
              <w:ind w:left="518" w:hangingChars="185" w:hanging="518"/>
              <w:rPr>
                <w:rFonts w:ascii="標楷體" w:eastAsia="標楷體" w:hAnsi="標楷體" w:hint="eastAsia"/>
                <w:sz w:val="28"/>
                <w:szCs w:val="28"/>
              </w:rPr>
            </w:pPr>
          </w:p>
        </w:tc>
        <w:tc>
          <w:tcPr>
            <w:tcW w:w="1277" w:type="pct"/>
          </w:tcPr>
          <w:p w:rsidR="008056F1" w:rsidRPr="008056F1" w:rsidRDefault="008056F1" w:rsidP="008056F1">
            <w:pPr>
              <w:spacing w:beforeLines="20" w:before="72" w:line="400" w:lineRule="exact"/>
              <w:ind w:leftChars="-64" w:left="462" w:hangingChars="215" w:hanging="603"/>
              <w:rPr>
                <w:rFonts w:ascii="標楷體" w:eastAsia="標楷體" w:hAnsi="標楷體"/>
                <w:b/>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lastRenderedPageBreak/>
              <w:t>國家資通安全會報置召集人一人，由行政院院長派行政院副院長兼任之；副召集人二人，由行政院院長指派之政務委員及科技部部長兼任；協同副召集人一人，由國家安全會議諮詢委員兼任；除召集人、副召集人及協同副召集人為當然委員外，其餘委員，由行政院院長就推動資通安全有關之機關、直轄市政府副首長及學者、專家派（聘）兼之。</w:t>
            </w:r>
          </w:p>
        </w:tc>
        <w:tc>
          <w:tcPr>
            <w:tcW w:w="1654" w:type="pct"/>
          </w:tcPr>
          <w:p w:rsidR="008056F1" w:rsidRPr="008056F1" w:rsidRDefault="008056F1" w:rsidP="00B32F75">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B32F75">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t>主管機關承行政院之命，綜理中央行政機關及直轄市、縣</w:t>
            </w:r>
            <w:r w:rsidRPr="008056F1">
              <w:rPr>
                <w:rFonts w:ascii="標楷體" w:eastAsia="標楷體" w:hAnsi="標楷體"/>
                <w:sz w:val="28"/>
                <w:szCs w:val="28"/>
              </w:rPr>
              <w:t xml:space="preserve"> (</w:t>
            </w:r>
            <w:r w:rsidRPr="008056F1">
              <w:rPr>
                <w:rFonts w:ascii="標楷體" w:eastAsia="標楷體" w:hAnsi="標楷體" w:hint="eastAsia"/>
                <w:sz w:val="28"/>
                <w:szCs w:val="28"/>
              </w:rPr>
              <w:t>市</w:t>
            </w:r>
            <w:r w:rsidRPr="008056F1">
              <w:rPr>
                <w:rFonts w:ascii="標楷體" w:eastAsia="標楷體" w:hAnsi="標楷體"/>
                <w:sz w:val="28"/>
                <w:szCs w:val="28"/>
              </w:rPr>
              <w:t xml:space="preserve">) </w:t>
            </w:r>
            <w:r w:rsidRPr="008056F1">
              <w:rPr>
                <w:rFonts w:ascii="標楷體" w:eastAsia="標楷體" w:hAnsi="標楷體" w:hint="eastAsia"/>
                <w:sz w:val="28"/>
                <w:szCs w:val="28"/>
              </w:rPr>
              <w:t>政府資通安全防護工作，並指定國家資通安全科技中心，整合與辦理資通安全防護有關業務，建立國家資通安全防護能量，並協助政府機關處理資通安全防護事宜。</w:t>
            </w:r>
          </w:p>
        </w:tc>
        <w:tc>
          <w:tcPr>
            <w:tcW w:w="1654" w:type="pct"/>
          </w:tcPr>
          <w:p w:rsidR="008056F1" w:rsidRPr="008056F1" w:rsidRDefault="008056F1" w:rsidP="00B32F75">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B32F75">
            <w:pPr>
              <w:spacing w:beforeLines="20" w:before="72" w:line="400" w:lineRule="exact"/>
              <w:rPr>
                <w:rFonts w:ascii="標楷體" w:eastAsia="標楷體" w:hAnsi="標楷體"/>
                <w:sz w:val="28"/>
                <w:szCs w:val="28"/>
              </w:rPr>
            </w:pPr>
          </w:p>
        </w:tc>
      </w:tr>
      <w:tr w:rsidR="008056F1" w:rsidRPr="008056F1" w:rsidTr="008056F1">
        <w:tblPrEx>
          <w:tblLook w:val="00A0" w:firstRow="1" w:lastRow="0" w:firstColumn="1" w:lastColumn="0" w:noHBand="0" w:noVBand="0"/>
        </w:tblPrEx>
        <w:tc>
          <w:tcPr>
            <w:tcW w:w="5000" w:type="pct"/>
            <w:gridSpan w:val="3"/>
          </w:tcPr>
          <w:p w:rsidR="008056F1" w:rsidRPr="008056F1" w:rsidRDefault="008056F1" w:rsidP="008056F1">
            <w:pPr>
              <w:spacing w:beforeLines="20" w:before="72" w:line="400" w:lineRule="exact"/>
              <w:ind w:left="611" w:hangingChars="218" w:hanging="611"/>
              <w:jc w:val="center"/>
              <w:rPr>
                <w:rFonts w:ascii="標楷體" w:eastAsia="標楷體" w:hAnsi="標楷體"/>
                <w:b/>
                <w:sz w:val="28"/>
                <w:szCs w:val="28"/>
              </w:rPr>
            </w:pPr>
            <w:r w:rsidRPr="008056F1">
              <w:rPr>
                <w:rFonts w:ascii="標楷體" w:eastAsia="標楷體" w:hAnsi="標楷體" w:hint="eastAsia"/>
                <w:b/>
                <w:sz w:val="28"/>
                <w:szCs w:val="28"/>
              </w:rPr>
              <w:t>第三章</w:t>
            </w:r>
            <w:r w:rsidRPr="008056F1">
              <w:rPr>
                <w:rFonts w:ascii="標楷體" w:eastAsia="標楷體" w:hAnsi="標楷體"/>
                <w:b/>
                <w:sz w:val="28"/>
                <w:szCs w:val="28"/>
              </w:rPr>
              <w:t xml:space="preserve">  </w:t>
            </w:r>
            <w:r w:rsidRPr="008056F1">
              <w:rPr>
                <w:rFonts w:ascii="標楷體" w:eastAsia="標楷體" w:hAnsi="標楷體" w:hint="eastAsia"/>
                <w:b/>
                <w:sz w:val="28"/>
                <w:szCs w:val="28"/>
              </w:rPr>
              <w:t>公務機關資通安全管理</w:t>
            </w: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t>公務機關應依其所屬之</w:t>
            </w:r>
            <w:r w:rsidRPr="008056F1">
              <w:rPr>
                <w:rFonts w:ascii="標楷體" w:eastAsia="標楷體" w:hAnsi="標楷體" w:hint="eastAsia"/>
                <w:sz w:val="28"/>
                <w:szCs w:val="28"/>
              </w:rPr>
              <w:lastRenderedPageBreak/>
              <w:t>資通安全責任等級，衡酌機關資源之合理分配，配置人員及必要資源，規劃、制定、修正及實施其資通安全維護計畫</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前項資通安全責任等級之分級標準、責任內容、申請等級變更及其他應遵循事項，由主管機關擬訂，報請行政院核定之。</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前項資通安全責任等級之</w:t>
            </w:r>
            <w:proofErr w:type="gramStart"/>
            <w:r w:rsidRPr="008056F1">
              <w:rPr>
                <w:rFonts w:ascii="標楷體" w:eastAsia="標楷體" w:hAnsi="標楷體" w:hint="eastAsia"/>
                <w:sz w:val="28"/>
                <w:szCs w:val="28"/>
              </w:rPr>
              <w:t>制定應衡酌</w:t>
            </w:r>
            <w:proofErr w:type="gramEnd"/>
            <w:r w:rsidRPr="008056F1">
              <w:rPr>
                <w:rFonts w:ascii="標楷體" w:eastAsia="標楷體" w:hAnsi="標楷體" w:hint="eastAsia"/>
                <w:sz w:val="28"/>
                <w:szCs w:val="28"/>
              </w:rPr>
              <w:t>政府機關層級、業務之重要性及機敏性、保有或處理之資訊種類、數量及性質、資通系統之規模及性質等條件。</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公務機關得因機關裁撤（</w:t>
            </w:r>
            <w:proofErr w:type="gramStart"/>
            <w:r w:rsidRPr="008056F1">
              <w:rPr>
                <w:rFonts w:ascii="標楷體" w:eastAsia="標楷體" w:hAnsi="標楷體" w:hint="eastAsia"/>
                <w:sz w:val="28"/>
                <w:szCs w:val="28"/>
              </w:rPr>
              <w:t>併</w:t>
            </w:r>
            <w:proofErr w:type="gramEnd"/>
            <w:r w:rsidRPr="008056F1">
              <w:rPr>
                <w:rFonts w:ascii="標楷體" w:eastAsia="標楷體" w:hAnsi="標楷體" w:hint="eastAsia"/>
                <w:sz w:val="28"/>
                <w:szCs w:val="28"/>
              </w:rPr>
              <w:t>）</w:t>
            </w:r>
            <w:r w:rsidRPr="008056F1">
              <w:rPr>
                <w:rFonts w:hint="eastAsia"/>
              </w:rPr>
              <w:t>、</w:t>
            </w:r>
            <w:r w:rsidRPr="008056F1">
              <w:rPr>
                <w:rFonts w:ascii="標楷體" w:eastAsia="標楷體" w:hAnsi="標楷體" w:hint="eastAsia"/>
                <w:sz w:val="28"/>
                <w:szCs w:val="28"/>
              </w:rPr>
              <w:t>組織變更、業務變更或運用之資通系統發生重大變更等事由，經主管機關報請行政院核定後，變更其所屬之資通安全責任等級。</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proofErr w:type="gramStart"/>
            <w:r w:rsidRPr="008056F1">
              <w:rPr>
                <w:rFonts w:ascii="標楷體" w:eastAsia="標楷體" w:hAnsi="標楷體" w:hint="eastAsia"/>
                <w:sz w:val="28"/>
                <w:szCs w:val="28"/>
              </w:rPr>
              <w:t>第一項資通</w:t>
            </w:r>
            <w:proofErr w:type="gramEnd"/>
            <w:r w:rsidRPr="008056F1">
              <w:rPr>
                <w:rFonts w:ascii="標楷體" w:eastAsia="標楷體" w:hAnsi="標楷體" w:hint="eastAsia"/>
                <w:sz w:val="28"/>
                <w:szCs w:val="28"/>
              </w:rPr>
              <w:t>安全維護計畫之標準、內容與其他遵循事項，由主管機關定之。</w:t>
            </w:r>
          </w:p>
        </w:tc>
        <w:tc>
          <w:tcPr>
            <w:tcW w:w="1654" w:type="pct"/>
          </w:tcPr>
          <w:p w:rsidR="008056F1" w:rsidRPr="008056F1" w:rsidRDefault="008056F1" w:rsidP="008056F1">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8056F1">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lastRenderedPageBreak/>
              <w:t>公務機關應設置資通安全長，由機關副首長兼任之，負責推動、監督機關內相關資通安全工作與事項。</w:t>
            </w:r>
          </w:p>
        </w:tc>
        <w:tc>
          <w:tcPr>
            <w:tcW w:w="1654" w:type="pct"/>
          </w:tcPr>
          <w:p w:rsidR="008056F1" w:rsidRPr="008056F1" w:rsidRDefault="008056F1" w:rsidP="00B32F75">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B32F75">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t>中央行政機關、直轄市、縣</w:t>
            </w:r>
            <w:r w:rsidRPr="008056F1">
              <w:rPr>
                <w:rFonts w:ascii="標楷體" w:eastAsia="標楷體" w:hAnsi="標楷體"/>
                <w:sz w:val="28"/>
                <w:szCs w:val="28"/>
              </w:rPr>
              <w:t xml:space="preserve"> (</w:t>
            </w:r>
            <w:r w:rsidRPr="008056F1">
              <w:rPr>
                <w:rFonts w:ascii="標楷體" w:eastAsia="標楷體" w:hAnsi="標楷體" w:hint="eastAsia"/>
                <w:sz w:val="28"/>
                <w:szCs w:val="28"/>
              </w:rPr>
              <w:t>市</w:t>
            </w:r>
            <w:r w:rsidRPr="008056F1">
              <w:rPr>
                <w:rFonts w:ascii="標楷體" w:eastAsia="標楷體" w:hAnsi="標楷體"/>
                <w:sz w:val="28"/>
                <w:szCs w:val="28"/>
              </w:rPr>
              <w:t xml:space="preserve">) </w:t>
            </w:r>
            <w:r w:rsidRPr="008056F1">
              <w:rPr>
                <w:rFonts w:ascii="標楷體" w:eastAsia="標楷體" w:hAnsi="標楷體" w:hint="eastAsia"/>
                <w:sz w:val="28"/>
                <w:szCs w:val="28"/>
              </w:rPr>
              <w:t>政府及行政法人應於當年年度終了後一定期</w:t>
            </w:r>
            <w:r w:rsidRPr="008056F1">
              <w:rPr>
                <w:rFonts w:ascii="標楷體" w:eastAsia="標楷體" w:hAnsi="標楷體" w:hint="eastAsia"/>
                <w:sz w:val="28"/>
                <w:szCs w:val="28"/>
              </w:rPr>
              <w:lastRenderedPageBreak/>
              <w:t>間內，就其機關資通安全維護計畫之實施情形，向主管機關提出當年度之資通安全維護計畫實施情形報告</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308" w:firstLineChars="200" w:firstLine="560"/>
              <w:rPr>
                <w:rFonts w:ascii="標楷體" w:eastAsia="標楷體" w:hAnsi="標楷體"/>
                <w:sz w:val="28"/>
                <w:szCs w:val="28"/>
              </w:rPr>
            </w:pPr>
            <w:r w:rsidRPr="008056F1">
              <w:rPr>
                <w:rFonts w:ascii="標楷體" w:eastAsia="標楷體" w:hAnsi="標楷體" w:hint="eastAsia"/>
                <w:sz w:val="28"/>
                <w:szCs w:val="28"/>
              </w:rPr>
              <w:t>本條所定之報告義務機關、程序、格式與內容，由主管機關定之。</w:t>
            </w:r>
          </w:p>
        </w:tc>
        <w:tc>
          <w:tcPr>
            <w:tcW w:w="1654" w:type="pct"/>
          </w:tcPr>
          <w:p w:rsidR="008056F1" w:rsidRPr="008056F1" w:rsidRDefault="008056F1" w:rsidP="00B32F75">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8056F1">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lastRenderedPageBreak/>
              <w:t>主管機關應查核中央行政機關、直轄市、縣</w:t>
            </w:r>
            <w:r w:rsidRPr="008056F1">
              <w:rPr>
                <w:rFonts w:ascii="標楷體" w:eastAsia="標楷體" w:hAnsi="標楷體"/>
                <w:sz w:val="28"/>
                <w:szCs w:val="28"/>
              </w:rPr>
              <w:t xml:space="preserve"> (</w:t>
            </w:r>
            <w:r w:rsidRPr="008056F1">
              <w:rPr>
                <w:rFonts w:ascii="標楷體" w:eastAsia="標楷體" w:hAnsi="標楷體" w:hint="eastAsia"/>
                <w:sz w:val="28"/>
                <w:szCs w:val="28"/>
              </w:rPr>
              <w:t>市</w:t>
            </w:r>
            <w:r w:rsidRPr="008056F1">
              <w:rPr>
                <w:rFonts w:ascii="標楷體" w:eastAsia="標楷體" w:hAnsi="標楷體"/>
                <w:sz w:val="28"/>
                <w:szCs w:val="28"/>
              </w:rPr>
              <w:t>)</w:t>
            </w:r>
            <w:r w:rsidRPr="008056F1">
              <w:rPr>
                <w:rFonts w:ascii="標楷體" w:eastAsia="標楷體" w:hAnsi="標楷體" w:hint="eastAsia"/>
                <w:sz w:val="28"/>
                <w:szCs w:val="28"/>
              </w:rPr>
              <w:t xml:space="preserve"> 政府</w:t>
            </w:r>
            <w:r w:rsidRPr="008056F1">
              <w:rPr>
                <w:rFonts w:ascii="標楷體" w:eastAsia="標楷體" w:hAnsi="標楷體"/>
                <w:sz w:val="28"/>
                <w:szCs w:val="28"/>
              </w:rPr>
              <w:t>及行政法人</w:t>
            </w:r>
            <w:r w:rsidRPr="008056F1">
              <w:rPr>
                <w:rFonts w:ascii="標楷體" w:eastAsia="標楷體" w:hAnsi="標楷體" w:hint="eastAsia"/>
                <w:sz w:val="28"/>
                <w:szCs w:val="28"/>
              </w:rPr>
              <w:t>資通安全維護計畫之實施情形</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受查核之中央行政機關、直轄市、縣</w:t>
            </w:r>
            <w:r w:rsidRPr="008056F1">
              <w:rPr>
                <w:rFonts w:ascii="標楷體" w:eastAsia="標楷體" w:hAnsi="標楷體"/>
                <w:sz w:val="28"/>
                <w:szCs w:val="28"/>
              </w:rPr>
              <w:t xml:space="preserve"> (</w:t>
            </w:r>
            <w:r w:rsidRPr="008056F1">
              <w:rPr>
                <w:rFonts w:ascii="標楷體" w:eastAsia="標楷體" w:hAnsi="標楷體" w:hint="eastAsia"/>
                <w:sz w:val="28"/>
                <w:szCs w:val="28"/>
              </w:rPr>
              <w:t>市</w:t>
            </w:r>
            <w:r w:rsidRPr="008056F1">
              <w:rPr>
                <w:rFonts w:ascii="標楷體" w:eastAsia="標楷體" w:hAnsi="標楷體"/>
                <w:sz w:val="28"/>
                <w:szCs w:val="28"/>
              </w:rPr>
              <w:t>)政府及行政法人</w:t>
            </w:r>
            <w:r w:rsidRPr="008056F1">
              <w:rPr>
                <w:rFonts w:ascii="標楷體" w:eastAsia="標楷體" w:hAnsi="標楷體" w:hint="eastAsia"/>
                <w:sz w:val="28"/>
                <w:szCs w:val="28"/>
              </w:rPr>
              <w:t>應於查核完成次日起一定期間內，向主管機關提出查核缺失矯正預防計畫</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第一項之查核對象、內容及方法、第二項之缺失矯正預防計畫之內容由主管機關定之。</w:t>
            </w:r>
          </w:p>
        </w:tc>
        <w:tc>
          <w:tcPr>
            <w:tcW w:w="1654" w:type="pct"/>
          </w:tcPr>
          <w:p w:rsidR="008056F1" w:rsidRPr="008056F1" w:rsidRDefault="008056F1" w:rsidP="008056F1">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8056F1">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t>公務機關為因應資通安全事件，應制定預防、通報及應變機制</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公務機關遇有重大資通安全事件者，應向主管機關通報，並應於事件發生次日起一定期間內，向主管機關提出矯正預防計畫</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資通安全事件如有涉及刑責之虞，相關之公務機關應妥適保全相關資料，包括但不限於數位證據及軌跡紀錄，並</w:t>
            </w:r>
            <w:r w:rsidRPr="008056F1">
              <w:rPr>
                <w:rFonts w:ascii="標楷體" w:eastAsia="標楷體" w:hAnsi="標楷體" w:hint="eastAsia"/>
                <w:sz w:val="28"/>
                <w:szCs w:val="28"/>
              </w:rPr>
              <w:lastRenderedPageBreak/>
              <w:t>應通報司法機關</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第一項預防、通報及應變機制之內容、第二項重大資通安全事件矯正預防計畫之內容及第三項之資料保全內容及方式及其他應遵循事項，由主管機關定之。</w:t>
            </w:r>
          </w:p>
        </w:tc>
        <w:tc>
          <w:tcPr>
            <w:tcW w:w="1654" w:type="pct"/>
          </w:tcPr>
          <w:p w:rsidR="008056F1" w:rsidRPr="008056F1" w:rsidRDefault="008056F1" w:rsidP="008056F1">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8056F1">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lastRenderedPageBreak/>
              <w:t>公務機關所屬人員對於所屬機關之資通安全維護績效優良者，所屬機關應予以適度之獎勵</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308" w:firstLineChars="200" w:firstLine="560"/>
              <w:rPr>
                <w:rFonts w:ascii="標楷體" w:eastAsia="標楷體" w:hAnsi="標楷體"/>
                <w:sz w:val="28"/>
                <w:szCs w:val="28"/>
              </w:rPr>
            </w:pPr>
            <w:r w:rsidRPr="008056F1">
              <w:rPr>
                <w:rFonts w:ascii="標楷體" w:eastAsia="標楷體" w:hAnsi="標楷體" w:hint="eastAsia"/>
                <w:sz w:val="28"/>
                <w:szCs w:val="28"/>
              </w:rPr>
              <w:t>公務機關所屬人員未遵守相關資通安全義務，致國家或社會受有重大損害時，除依法追訴行為人相關刑事責任，另追究行為人、其主責機關資通安全長及相關人員之行政責任</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308" w:firstLineChars="200" w:firstLine="560"/>
              <w:rPr>
                <w:rFonts w:ascii="標楷體" w:eastAsia="標楷體" w:hAnsi="標楷體"/>
                <w:sz w:val="28"/>
                <w:szCs w:val="28"/>
              </w:rPr>
            </w:pPr>
            <w:r w:rsidRPr="008056F1">
              <w:rPr>
                <w:rFonts w:ascii="標楷體" w:eastAsia="標楷體" w:hAnsi="標楷體" w:hint="eastAsia"/>
                <w:sz w:val="28"/>
                <w:szCs w:val="28"/>
              </w:rPr>
              <w:t>前兩項之獎懲標準與相關內容，由主管機關定之。</w:t>
            </w:r>
          </w:p>
        </w:tc>
        <w:tc>
          <w:tcPr>
            <w:tcW w:w="1654" w:type="pct"/>
          </w:tcPr>
          <w:p w:rsidR="008056F1" w:rsidRPr="008056F1" w:rsidRDefault="008056F1" w:rsidP="00B32F75">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B32F75">
            <w:pPr>
              <w:spacing w:beforeLines="20" w:before="72" w:line="400" w:lineRule="exact"/>
              <w:ind w:left="571"/>
              <w:rPr>
                <w:rFonts w:ascii="標楷體" w:eastAsia="標楷體" w:hAnsi="標楷體"/>
                <w:sz w:val="28"/>
                <w:szCs w:val="28"/>
              </w:rPr>
            </w:pPr>
          </w:p>
        </w:tc>
      </w:tr>
      <w:tr w:rsidR="008056F1" w:rsidRPr="008056F1" w:rsidTr="008056F1">
        <w:tblPrEx>
          <w:tblLook w:val="00A0" w:firstRow="1" w:lastRow="0" w:firstColumn="1" w:lastColumn="0" w:noHBand="0" w:noVBand="0"/>
        </w:tblPrEx>
        <w:tc>
          <w:tcPr>
            <w:tcW w:w="5000" w:type="pct"/>
            <w:gridSpan w:val="3"/>
          </w:tcPr>
          <w:p w:rsidR="008056F1" w:rsidRPr="008056F1" w:rsidRDefault="008056F1" w:rsidP="008056F1">
            <w:pPr>
              <w:spacing w:beforeLines="20" w:before="72" w:line="400" w:lineRule="exact"/>
              <w:ind w:left="611" w:hangingChars="218" w:hanging="611"/>
              <w:jc w:val="center"/>
              <w:rPr>
                <w:rFonts w:ascii="標楷體" w:eastAsia="標楷體" w:hAnsi="標楷體"/>
                <w:b/>
                <w:sz w:val="28"/>
                <w:szCs w:val="28"/>
              </w:rPr>
            </w:pPr>
            <w:r w:rsidRPr="008056F1">
              <w:rPr>
                <w:rFonts w:ascii="標楷體" w:eastAsia="標楷體" w:hAnsi="標楷體" w:hint="eastAsia"/>
                <w:b/>
                <w:sz w:val="28"/>
                <w:szCs w:val="28"/>
              </w:rPr>
              <w:t>第四章  非公務機關資通安全管理</w:t>
            </w: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sz w:val="28"/>
                <w:szCs w:val="28"/>
              </w:rPr>
              <w:t>中央目的事業主管機關應</w:t>
            </w:r>
            <w:r w:rsidRPr="008056F1">
              <w:rPr>
                <w:rFonts w:ascii="標楷體" w:eastAsia="標楷體" w:hAnsi="標楷體" w:hint="eastAsia"/>
                <w:sz w:val="28"/>
                <w:szCs w:val="28"/>
              </w:rPr>
              <w:t>視公共利益與保護人民生命、財產安全，</w:t>
            </w:r>
            <w:r w:rsidRPr="008056F1">
              <w:rPr>
                <w:rFonts w:ascii="標楷體" w:eastAsia="標楷體" w:hAnsi="標楷體"/>
                <w:sz w:val="28"/>
                <w:szCs w:val="28"/>
              </w:rPr>
              <w:t>協助保有或運用資通系統之非公務機關，</w:t>
            </w:r>
            <w:proofErr w:type="gramStart"/>
            <w:r w:rsidRPr="008056F1">
              <w:rPr>
                <w:rFonts w:ascii="標楷體" w:eastAsia="標楷體" w:hAnsi="標楷體"/>
                <w:sz w:val="28"/>
                <w:szCs w:val="28"/>
              </w:rPr>
              <w:t>採</w:t>
            </w:r>
            <w:proofErr w:type="gramEnd"/>
            <w:r w:rsidRPr="008056F1">
              <w:rPr>
                <w:rFonts w:ascii="標楷體" w:eastAsia="標楷體" w:hAnsi="標楷體"/>
                <w:sz w:val="28"/>
                <w:szCs w:val="28"/>
              </w:rPr>
              <w:t>行適當之安全維護措施，以防止或降低資通安全風險之發生。</w:t>
            </w:r>
          </w:p>
          <w:p w:rsidR="008056F1" w:rsidRPr="008056F1" w:rsidRDefault="008056F1" w:rsidP="00B32F75">
            <w:pPr>
              <w:spacing w:beforeLines="20" w:before="72" w:line="400" w:lineRule="exact"/>
              <w:ind w:left="308"/>
              <w:rPr>
                <w:rFonts w:ascii="標楷體" w:eastAsia="標楷體" w:hAnsi="標楷體"/>
                <w:sz w:val="28"/>
                <w:szCs w:val="28"/>
              </w:rPr>
            </w:pPr>
            <w:r w:rsidRPr="008056F1">
              <w:rPr>
                <w:rFonts w:ascii="標楷體" w:eastAsia="標楷體" w:hAnsi="標楷體" w:hint="eastAsia"/>
                <w:sz w:val="28"/>
                <w:szCs w:val="28"/>
              </w:rPr>
              <w:t>中央目的事業主管機關得指定非公務機關所提供之產品或服務，制定及實施資通安全維護計畫</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sz w:val="28"/>
                <w:szCs w:val="28"/>
              </w:rPr>
              <w:lastRenderedPageBreak/>
              <w:t>前項所指定</w:t>
            </w:r>
            <w:r w:rsidRPr="008056F1">
              <w:rPr>
                <w:rFonts w:ascii="標楷體" w:eastAsia="標楷體" w:hAnsi="標楷體" w:hint="eastAsia"/>
                <w:sz w:val="28"/>
                <w:szCs w:val="28"/>
              </w:rPr>
              <w:t>之非公務機關提供之產品或服務，中央目的事業主管機關應於當年年度終了後一定期間內，就其資通安全維護業務之指導、監督與管理情形，向主管機關提出當年度之資通安全維護計畫實施情形報告</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第二項計畫之標準、內容與其他遵循事項，由中央目的事業主管機關定之。</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第三項所定之報告義務機關、程序、格式與內容，由主管機關定之。</w:t>
            </w:r>
          </w:p>
        </w:tc>
        <w:tc>
          <w:tcPr>
            <w:tcW w:w="1654" w:type="pct"/>
          </w:tcPr>
          <w:p w:rsidR="008056F1" w:rsidRPr="008056F1" w:rsidRDefault="008056F1" w:rsidP="008056F1">
            <w:pPr>
              <w:spacing w:beforeLines="20" w:before="72" w:line="400" w:lineRule="exact"/>
              <w:ind w:left="599"/>
              <w:rPr>
                <w:rFonts w:ascii="標楷體" w:eastAsia="標楷體" w:hAnsi="標楷體" w:hint="eastAsia"/>
                <w:sz w:val="28"/>
                <w:szCs w:val="28"/>
              </w:rPr>
            </w:pPr>
          </w:p>
        </w:tc>
        <w:tc>
          <w:tcPr>
            <w:tcW w:w="1277" w:type="pct"/>
          </w:tcPr>
          <w:p w:rsidR="008056F1" w:rsidRPr="008056F1" w:rsidRDefault="008056F1" w:rsidP="008056F1">
            <w:pPr>
              <w:spacing w:beforeLines="20" w:before="72" w:line="400" w:lineRule="exact"/>
              <w:ind w:left="599"/>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lastRenderedPageBreak/>
              <w:t>為確保國家與社會功能之持續運作，中央目的事業主管機關得指定非公務機關為關鍵基礎設施提供者。</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關鍵基礎設施提供者為確保資通系統之安全，應考量保有或處理之資訊種類、數量及性質、資通系統之規模及性質等條件，就所保有或運用之資通系統制定與實施資通安全維護計畫</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中央目的事業主管機關應就前項之義務為查核</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第二項維護計畫之內容及其他應遵循事項及第三項查核辦法，由中央目的事業主管機關擬訂，送行政院核定之。</w:t>
            </w:r>
          </w:p>
        </w:tc>
        <w:tc>
          <w:tcPr>
            <w:tcW w:w="1654" w:type="pct"/>
          </w:tcPr>
          <w:p w:rsidR="008056F1" w:rsidRPr="008056F1" w:rsidRDefault="008056F1" w:rsidP="00CB07B2">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CB07B2">
            <w:pPr>
              <w:tabs>
                <w:tab w:val="center" w:pos="4153"/>
                <w:tab w:val="right" w:pos="8306"/>
              </w:tabs>
              <w:snapToGrid w:val="0"/>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lastRenderedPageBreak/>
              <w:t>關鍵基礎設施提供者應於當年年度終了後一定期間內，就其機關資通安全維護計畫之實施情形，向中央目的事業主管機關提出當年度之資通安全維護計畫實施情形報告</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308"/>
              <w:rPr>
                <w:rFonts w:ascii="標楷體" w:eastAsia="標楷體" w:hAnsi="標楷體"/>
                <w:sz w:val="28"/>
                <w:szCs w:val="28"/>
              </w:rPr>
            </w:pPr>
            <w:r w:rsidRPr="008056F1">
              <w:rPr>
                <w:rFonts w:ascii="標楷體" w:eastAsia="標楷體" w:hAnsi="標楷體" w:hint="eastAsia"/>
                <w:sz w:val="28"/>
                <w:szCs w:val="28"/>
              </w:rPr>
              <w:t>本條所定之報告義務機關、程序、格式與內容，由中央目的事業主管機關定之。</w:t>
            </w:r>
          </w:p>
        </w:tc>
        <w:tc>
          <w:tcPr>
            <w:tcW w:w="1654" w:type="pct"/>
          </w:tcPr>
          <w:p w:rsidR="008056F1" w:rsidRPr="008056F1" w:rsidRDefault="008056F1" w:rsidP="00B32F75">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B32F75">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bookmarkStart w:id="1" w:name="_Ref422727894"/>
            <w:r w:rsidRPr="008056F1">
              <w:rPr>
                <w:rFonts w:ascii="標楷體" w:eastAsia="標楷體" w:hAnsi="標楷體" w:hint="eastAsia"/>
                <w:sz w:val="28"/>
                <w:szCs w:val="28"/>
              </w:rPr>
              <w:t>關鍵基礎設施提供者及受中央目的事業主管機關指定之非公務機關所提供之產品或服務，於發生資通安全事件時，應向中央目的事業主管機關通報資通安全事件之相關內容及因應之方法</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bookmarkEnd w:id="1"/>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關鍵基礎設施提供者之資通安全事件情節重大時，中央目的事業主管機關及主管機關得公告必要之內容及因應措施</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資通安全事件如有涉及刑責之虞，相關之關鍵基礎設施提供者及受中央目的事業主管機關指定之非公務機關應妥善保全相關資料包括數位證據及軌跡紀錄，並應主動通報司法機關</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第一項應變、通報及預防機制之內容、</w:t>
            </w:r>
            <w:proofErr w:type="gramStart"/>
            <w:r w:rsidRPr="008056F1">
              <w:rPr>
                <w:rFonts w:ascii="標楷體" w:eastAsia="標楷體" w:hAnsi="標楷體" w:hint="eastAsia"/>
                <w:sz w:val="28"/>
                <w:szCs w:val="28"/>
              </w:rPr>
              <w:t>第二項資通</w:t>
            </w:r>
            <w:proofErr w:type="gramEnd"/>
            <w:r w:rsidRPr="008056F1">
              <w:rPr>
                <w:rFonts w:ascii="標楷體" w:eastAsia="標楷體" w:hAnsi="標楷體" w:hint="eastAsia"/>
                <w:sz w:val="28"/>
                <w:szCs w:val="28"/>
              </w:rPr>
              <w:t>安全事件情節重大之認定、公告之</w:t>
            </w:r>
            <w:r w:rsidRPr="008056F1">
              <w:rPr>
                <w:rFonts w:ascii="標楷體" w:eastAsia="標楷體" w:hAnsi="標楷體" w:hint="eastAsia"/>
                <w:sz w:val="28"/>
                <w:szCs w:val="28"/>
              </w:rPr>
              <w:lastRenderedPageBreak/>
              <w:t>內容、因應措施及第三項之資料保全內容及方式及其他應遵循事項，由中央目的事業主管機關會同主管機關定之。</w:t>
            </w:r>
          </w:p>
        </w:tc>
        <w:tc>
          <w:tcPr>
            <w:tcW w:w="1654" w:type="pct"/>
          </w:tcPr>
          <w:p w:rsidR="008056F1" w:rsidRPr="008056F1" w:rsidRDefault="008056F1" w:rsidP="00CB07B2">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73191D">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lastRenderedPageBreak/>
              <w:t>中央目的事業主管機關為執行資通安全維護、其他例行性業務而認有必要、或有違反本法規定之虞時，得派員攜帶執行職務證明文件，進入檢查，並得命相關人員為必要之說明、配合措施或提供相關證明資料。</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中央目的事業主管機關為前項檢查時，對於得沒入或可為證據之資訊，得扣留或複製之。對於應扣留或複製之物，得要求其所有人、持有人或保管人提出或交付；無正當理由拒絕提出、交付或抗拒扣留或複製者，得採取</w:t>
            </w:r>
            <w:proofErr w:type="gramStart"/>
            <w:r w:rsidRPr="008056F1">
              <w:rPr>
                <w:rFonts w:ascii="標楷體" w:eastAsia="標楷體" w:hAnsi="標楷體" w:hint="eastAsia"/>
                <w:sz w:val="28"/>
                <w:szCs w:val="28"/>
              </w:rPr>
              <w:t>對該非公務</w:t>
            </w:r>
            <w:proofErr w:type="gramEnd"/>
            <w:r w:rsidRPr="008056F1">
              <w:rPr>
                <w:rFonts w:ascii="標楷體" w:eastAsia="標楷體" w:hAnsi="標楷體" w:hint="eastAsia"/>
                <w:sz w:val="28"/>
                <w:szCs w:val="28"/>
              </w:rPr>
              <w:t>機關權益損害最少之方法強制為之。</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中央目的事業主管機關為前項檢查時，得</w:t>
            </w:r>
            <w:proofErr w:type="gramStart"/>
            <w:r w:rsidRPr="008056F1">
              <w:rPr>
                <w:rFonts w:ascii="標楷體" w:eastAsia="標楷體" w:hAnsi="標楷體" w:hint="eastAsia"/>
                <w:sz w:val="28"/>
                <w:szCs w:val="28"/>
              </w:rPr>
              <w:t>率同資通</w:t>
            </w:r>
            <w:proofErr w:type="gramEnd"/>
            <w:r w:rsidRPr="008056F1">
              <w:rPr>
                <w:rFonts w:ascii="標楷體" w:eastAsia="標楷體" w:hAnsi="標楷體" w:hint="eastAsia"/>
                <w:sz w:val="28"/>
                <w:szCs w:val="28"/>
              </w:rPr>
              <w:t>或司法警察人員等專業人員共同為之。</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對於第一項之進入及第二項之檢查或處分，非公務機關及其相關人員不得規避、妨礙或拒絕。</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參與檢查之人員，因檢查而知悉他人資料者，負保密義</w:t>
            </w:r>
            <w:r w:rsidRPr="008056F1">
              <w:rPr>
                <w:rFonts w:ascii="標楷體" w:eastAsia="標楷體" w:hAnsi="標楷體" w:hint="eastAsia"/>
                <w:sz w:val="28"/>
                <w:szCs w:val="28"/>
              </w:rPr>
              <w:lastRenderedPageBreak/>
              <w:t>務。</w:t>
            </w:r>
          </w:p>
        </w:tc>
        <w:tc>
          <w:tcPr>
            <w:tcW w:w="1654" w:type="pct"/>
          </w:tcPr>
          <w:p w:rsidR="008056F1" w:rsidRPr="008056F1" w:rsidRDefault="008056F1" w:rsidP="00CB07B2">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CB07B2">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sz w:val="28"/>
                <w:szCs w:val="28"/>
              </w:rPr>
              <w:lastRenderedPageBreak/>
              <w:t xml:space="preserve"> </w:t>
            </w:r>
            <w:r w:rsidRPr="008056F1">
              <w:rPr>
                <w:rFonts w:ascii="標楷體" w:eastAsia="標楷體" w:hAnsi="標楷體" w:hint="eastAsia"/>
                <w:sz w:val="28"/>
                <w:szCs w:val="28"/>
              </w:rPr>
              <w:t>非公務機關、物之所有人、持有人、保管人或利害關係人對前條之要求、強制、扣留或複製行為不服者，得向中央目的事業主管機關聲明異議。</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前項聲明異議，中央目的事業主管機關認為有理由者，應立即停止或變更其行為；認為</w:t>
            </w:r>
            <w:proofErr w:type="gramStart"/>
            <w:r w:rsidRPr="008056F1">
              <w:rPr>
                <w:rFonts w:ascii="標楷體" w:eastAsia="標楷體" w:hAnsi="標楷體" w:hint="eastAsia"/>
                <w:sz w:val="28"/>
                <w:szCs w:val="28"/>
              </w:rPr>
              <w:t>無理由者</w:t>
            </w:r>
            <w:proofErr w:type="gramEnd"/>
            <w:r w:rsidRPr="008056F1">
              <w:rPr>
                <w:rFonts w:ascii="標楷體" w:eastAsia="標楷體" w:hAnsi="標楷體" w:hint="eastAsia"/>
                <w:sz w:val="28"/>
                <w:szCs w:val="28"/>
              </w:rPr>
              <w:t>，得繼續執行。經該聲明異議之人請求時，應將聲明異議之理由製作紀錄交付之。</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對於中央目的事業主管機關前項決定不服者，僅得於對該案件之實體決定聲明不服時一併聲明之。但第一項之人依法不得對該案件之實體決定聲明不服時，得單獨對第一項之行為逕行提起行政訴訟。</w:t>
            </w:r>
          </w:p>
        </w:tc>
        <w:tc>
          <w:tcPr>
            <w:tcW w:w="1654" w:type="pct"/>
          </w:tcPr>
          <w:p w:rsidR="008056F1" w:rsidRPr="008056F1" w:rsidRDefault="008056F1" w:rsidP="0073191D">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73191D">
            <w:pPr>
              <w:spacing w:beforeLines="20" w:before="72" w:line="400" w:lineRule="exact"/>
              <w:ind w:left="612"/>
              <w:rPr>
                <w:rFonts w:ascii="標楷體" w:eastAsia="標楷體" w:hAnsi="標楷體"/>
                <w:sz w:val="28"/>
                <w:szCs w:val="28"/>
              </w:rPr>
            </w:pPr>
          </w:p>
        </w:tc>
      </w:tr>
      <w:tr w:rsidR="0073191D" w:rsidRPr="008056F1" w:rsidTr="0073191D">
        <w:tblPrEx>
          <w:tblLook w:val="00A0" w:firstRow="1" w:lastRow="0" w:firstColumn="1" w:lastColumn="0" w:noHBand="0" w:noVBand="0"/>
        </w:tblPrEx>
        <w:tc>
          <w:tcPr>
            <w:tcW w:w="5000" w:type="pct"/>
            <w:gridSpan w:val="3"/>
          </w:tcPr>
          <w:p w:rsidR="0073191D" w:rsidRPr="008056F1" w:rsidRDefault="0073191D" w:rsidP="0073191D">
            <w:pPr>
              <w:spacing w:beforeLines="20" w:before="72" w:line="400" w:lineRule="exact"/>
              <w:ind w:left="611" w:hangingChars="218" w:hanging="611"/>
              <w:jc w:val="center"/>
              <w:rPr>
                <w:rFonts w:ascii="標楷體" w:eastAsia="標楷體" w:hAnsi="標楷體"/>
                <w:b/>
                <w:sz w:val="28"/>
                <w:szCs w:val="28"/>
              </w:rPr>
            </w:pPr>
            <w:r w:rsidRPr="008056F1">
              <w:rPr>
                <w:rFonts w:ascii="標楷體" w:eastAsia="標楷體" w:hAnsi="標楷體" w:hint="eastAsia"/>
                <w:b/>
                <w:sz w:val="28"/>
                <w:szCs w:val="28"/>
              </w:rPr>
              <w:t>第五章</w:t>
            </w:r>
            <w:r w:rsidRPr="008056F1">
              <w:rPr>
                <w:rFonts w:ascii="標楷體" w:eastAsia="標楷體" w:hAnsi="標楷體"/>
                <w:b/>
                <w:sz w:val="28"/>
                <w:szCs w:val="28"/>
              </w:rPr>
              <w:t xml:space="preserve">  </w:t>
            </w:r>
            <w:r w:rsidRPr="008056F1">
              <w:rPr>
                <w:rFonts w:ascii="標楷體" w:eastAsia="標楷體" w:hAnsi="標楷體" w:hint="eastAsia"/>
                <w:b/>
                <w:sz w:val="28"/>
                <w:szCs w:val="28"/>
              </w:rPr>
              <w:t>罰則</w:t>
            </w: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sz w:val="28"/>
                <w:szCs w:val="28"/>
              </w:rPr>
              <w:t xml:space="preserve"> </w:t>
            </w:r>
            <w:r w:rsidRPr="008056F1">
              <w:rPr>
                <w:rFonts w:ascii="標楷體" w:eastAsia="標楷體" w:hAnsi="標楷體" w:hint="eastAsia"/>
                <w:sz w:val="28"/>
                <w:szCs w:val="28"/>
              </w:rPr>
              <w:t>違反第十七條第二項規定未</w:t>
            </w:r>
            <w:proofErr w:type="gramStart"/>
            <w:r w:rsidRPr="008056F1">
              <w:rPr>
                <w:rFonts w:ascii="標楷體" w:eastAsia="標楷體" w:hAnsi="標楷體" w:hint="eastAsia"/>
                <w:sz w:val="28"/>
                <w:szCs w:val="28"/>
              </w:rPr>
              <w:t>訂定資通</w:t>
            </w:r>
            <w:proofErr w:type="gramEnd"/>
            <w:r w:rsidRPr="008056F1">
              <w:rPr>
                <w:rFonts w:ascii="標楷體" w:eastAsia="標楷體" w:hAnsi="標楷體" w:hint="eastAsia"/>
                <w:sz w:val="28"/>
                <w:szCs w:val="28"/>
              </w:rPr>
              <w:t>安全維護計畫者，由中央目的事業主管機關處新台幣二十萬元以上，二佰萬元以下之罰鍰，並令限期改正，屆期未改正者，按次處罰之。</w:t>
            </w:r>
          </w:p>
        </w:tc>
        <w:tc>
          <w:tcPr>
            <w:tcW w:w="1654" w:type="pct"/>
          </w:tcPr>
          <w:p w:rsidR="008056F1" w:rsidRPr="008056F1" w:rsidRDefault="008056F1" w:rsidP="00B32F75">
            <w:pPr>
              <w:spacing w:beforeLines="20" w:before="72" w:line="400" w:lineRule="exact"/>
              <w:rPr>
                <w:rFonts w:ascii="標楷體" w:eastAsia="標楷體" w:hAnsi="標楷體"/>
                <w:sz w:val="28"/>
                <w:szCs w:val="28"/>
              </w:rPr>
            </w:pPr>
          </w:p>
        </w:tc>
        <w:tc>
          <w:tcPr>
            <w:tcW w:w="1277" w:type="pct"/>
          </w:tcPr>
          <w:p w:rsidR="008056F1" w:rsidRPr="008056F1" w:rsidRDefault="008056F1" w:rsidP="00B32F75">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sz w:val="28"/>
                <w:szCs w:val="28"/>
              </w:rPr>
              <w:t xml:space="preserve"> </w:t>
            </w:r>
            <w:r w:rsidRPr="008056F1">
              <w:rPr>
                <w:rFonts w:ascii="標楷體" w:eastAsia="標楷體" w:hAnsi="標楷體" w:hint="eastAsia"/>
                <w:sz w:val="28"/>
                <w:szCs w:val="28"/>
              </w:rPr>
              <w:t>有下列情形之</w:t>
            </w:r>
            <w:proofErr w:type="gramStart"/>
            <w:r w:rsidRPr="008056F1">
              <w:rPr>
                <w:rFonts w:ascii="標楷體" w:eastAsia="標楷體" w:hAnsi="標楷體" w:hint="eastAsia"/>
                <w:sz w:val="28"/>
                <w:szCs w:val="28"/>
              </w:rPr>
              <w:t>一</w:t>
            </w:r>
            <w:proofErr w:type="gramEnd"/>
            <w:r w:rsidRPr="008056F1">
              <w:rPr>
                <w:rFonts w:ascii="標楷體" w:eastAsia="標楷體" w:hAnsi="標楷體" w:hint="eastAsia"/>
                <w:sz w:val="28"/>
                <w:szCs w:val="28"/>
              </w:rPr>
              <w:t>者，由中央目的事業主管機關</w:t>
            </w:r>
            <w:r w:rsidRPr="008056F1">
              <w:rPr>
                <w:rFonts w:ascii="標楷體" w:eastAsia="標楷體" w:hAnsi="標楷體" w:hint="eastAsia"/>
                <w:sz w:val="28"/>
                <w:szCs w:val="28"/>
              </w:rPr>
              <w:lastRenderedPageBreak/>
              <w:t>處新台幣十萬元以上，一佰萬元以下之罰緩，並令限期改正，屆期未改正者，按次處罰之。</w:t>
            </w:r>
          </w:p>
          <w:p w:rsidR="008056F1" w:rsidRPr="008056F1" w:rsidRDefault="008056F1" w:rsidP="00B32F75">
            <w:pPr>
              <w:pStyle w:val="a9"/>
              <w:numPr>
                <w:ilvl w:val="0"/>
                <w:numId w:val="41"/>
              </w:numPr>
              <w:spacing w:beforeLines="20" w:before="72" w:line="400" w:lineRule="exact"/>
              <w:ind w:leftChars="0"/>
              <w:rPr>
                <w:rFonts w:ascii="標楷體" w:eastAsia="標楷體" w:hAnsi="標楷體"/>
                <w:sz w:val="28"/>
                <w:szCs w:val="28"/>
              </w:rPr>
            </w:pPr>
            <w:r w:rsidRPr="008056F1">
              <w:rPr>
                <w:rFonts w:ascii="標楷體" w:eastAsia="標楷體" w:hAnsi="標楷體" w:hint="eastAsia"/>
                <w:sz w:val="28"/>
                <w:szCs w:val="28"/>
              </w:rPr>
              <w:t>違反第十六條第二項規定未</w:t>
            </w:r>
            <w:proofErr w:type="gramStart"/>
            <w:r w:rsidRPr="008056F1">
              <w:rPr>
                <w:rFonts w:ascii="標楷體" w:eastAsia="標楷體" w:hAnsi="標楷體" w:hint="eastAsia"/>
                <w:sz w:val="28"/>
                <w:szCs w:val="28"/>
              </w:rPr>
              <w:t>訂定資通</w:t>
            </w:r>
            <w:proofErr w:type="gramEnd"/>
            <w:r w:rsidRPr="008056F1">
              <w:rPr>
                <w:rFonts w:ascii="標楷體" w:eastAsia="標楷體" w:hAnsi="標楷體" w:hint="eastAsia"/>
                <w:sz w:val="28"/>
                <w:szCs w:val="28"/>
              </w:rPr>
              <w:t>安全維護計畫。</w:t>
            </w:r>
          </w:p>
          <w:p w:rsidR="008056F1" w:rsidRPr="008056F1" w:rsidRDefault="008056F1" w:rsidP="00B32F75">
            <w:pPr>
              <w:pStyle w:val="a9"/>
              <w:numPr>
                <w:ilvl w:val="0"/>
                <w:numId w:val="41"/>
              </w:numPr>
              <w:spacing w:beforeLines="20" w:before="72" w:line="400" w:lineRule="exact"/>
              <w:ind w:leftChars="0"/>
              <w:rPr>
                <w:rFonts w:ascii="標楷體" w:eastAsia="標楷體" w:hAnsi="標楷體"/>
                <w:sz w:val="28"/>
                <w:szCs w:val="28"/>
              </w:rPr>
            </w:pPr>
            <w:r w:rsidRPr="008056F1">
              <w:rPr>
                <w:rFonts w:ascii="標楷體" w:eastAsia="標楷體" w:hAnsi="標楷體" w:hint="eastAsia"/>
                <w:sz w:val="28"/>
                <w:szCs w:val="28"/>
              </w:rPr>
              <w:t>違反第十七條第二項規定未執行資通安全維護計畫。</w:t>
            </w:r>
          </w:p>
        </w:tc>
        <w:tc>
          <w:tcPr>
            <w:tcW w:w="1654" w:type="pct"/>
          </w:tcPr>
          <w:p w:rsidR="008056F1" w:rsidRPr="008056F1" w:rsidRDefault="008056F1" w:rsidP="00B32F75">
            <w:pPr>
              <w:spacing w:beforeLines="20" w:before="72" w:line="400" w:lineRule="exact"/>
              <w:rPr>
                <w:rFonts w:ascii="標楷體" w:eastAsia="標楷體" w:hAnsi="標楷體"/>
                <w:sz w:val="28"/>
                <w:szCs w:val="28"/>
              </w:rPr>
            </w:pPr>
          </w:p>
        </w:tc>
        <w:tc>
          <w:tcPr>
            <w:tcW w:w="1277" w:type="pct"/>
          </w:tcPr>
          <w:p w:rsidR="008056F1" w:rsidRPr="008056F1" w:rsidRDefault="008056F1" w:rsidP="00B32F75">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sz w:val="28"/>
                <w:szCs w:val="28"/>
              </w:rPr>
              <w:lastRenderedPageBreak/>
              <w:t xml:space="preserve"> </w:t>
            </w:r>
            <w:r w:rsidRPr="008056F1">
              <w:rPr>
                <w:rFonts w:ascii="標楷體" w:eastAsia="標楷體" w:hAnsi="標楷體" w:hint="eastAsia"/>
                <w:sz w:val="28"/>
                <w:szCs w:val="28"/>
              </w:rPr>
              <w:t>有下列情形之</w:t>
            </w:r>
            <w:proofErr w:type="gramStart"/>
            <w:r w:rsidRPr="008056F1">
              <w:rPr>
                <w:rFonts w:ascii="標楷體" w:eastAsia="標楷體" w:hAnsi="標楷體" w:hint="eastAsia"/>
                <w:sz w:val="28"/>
                <w:szCs w:val="28"/>
              </w:rPr>
              <w:t>一</w:t>
            </w:r>
            <w:proofErr w:type="gramEnd"/>
            <w:r w:rsidRPr="008056F1">
              <w:rPr>
                <w:rFonts w:ascii="標楷體" w:eastAsia="標楷體" w:hAnsi="標楷體" w:hint="eastAsia"/>
                <w:sz w:val="28"/>
                <w:szCs w:val="28"/>
              </w:rPr>
              <w:t>者，由中央目的事業主管機關處新台幣五萬元以上五十萬元以下罰鍰，並令限期改正，屆期未改正者，得按次處罰之。</w:t>
            </w:r>
          </w:p>
          <w:p w:rsidR="008056F1" w:rsidRPr="008056F1" w:rsidRDefault="008056F1" w:rsidP="00B32F75">
            <w:pPr>
              <w:pStyle w:val="a9"/>
              <w:numPr>
                <w:ilvl w:val="0"/>
                <w:numId w:val="42"/>
              </w:numPr>
              <w:spacing w:beforeLines="20" w:before="72" w:line="400" w:lineRule="exact"/>
              <w:ind w:leftChars="0"/>
              <w:rPr>
                <w:rFonts w:ascii="標楷體" w:eastAsia="標楷體" w:hAnsi="標楷體"/>
                <w:sz w:val="28"/>
                <w:szCs w:val="28"/>
              </w:rPr>
            </w:pPr>
            <w:r w:rsidRPr="008056F1">
              <w:rPr>
                <w:rFonts w:ascii="標楷體" w:eastAsia="標楷體" w:hAnsi="標楷體" w:hint="eastAsia"/>
                <w:sz w:val="28"/>
                <w:szCs w:val="28"/>
              </w:rPr>
              <w:t>違反第十六條第二項規定未執行資通安全維護計畫。</w:t>
            </w:r>
          </w:p>
          <w:p w:rsidR="008056F1" w:rsidRPr="008056F1" w:rsidRDefault="008056F1" w:rsidP="00B32F75">
            <w:pPr>
              <w:pStyle w:val="a9"/>
              <w:numPr>
                <w:ilvl w:val="0"/>
                <w:numId w:val="42"/>
              </w:numPr>
              <w:spacing w:beforeLines="20" w:before="72" w:line="400" w:lineRule="exact"/>
              <w:ind w:leftChars="0"/>
              <w:rPr>
                <w:rFonts w:ascii="標楷體" w:eastAsia="標楷體" w:hAnsi="標楷體"/>
                <w:sz w:val="28"/>
                <w:szCs w:val="28"/>
              </w:rPr>
            </w:pPr>
            <w:r w:rsidRPr="008056F1">
              <w:rPr>
                <w:rFonts w:ascii="標楷體" w:eastAsia="標楷體" w:hAnsi="標楷體" w:hint="eastAsia"/>
                <w:sz w:val="28"/>
                <w:szCs w:val="28"/>
              </w:rPr>
              <w:t>違反第十八條規定未向中央目的事業主管機關提出資通安全維護計畫實施情形報告。</w:t>
            </w:r>
          </w:p>
          <w:p w:rsidR="008056F1" w:rsidRPr="008056F1" w:rsidRDefault="008056F1" w:rsidP="00B32F75">
            <w:pPr>
              <w:pStyle w:val="a9"/>
              <w:numPr>
                <w:ilvl w:val="0"/>
                <w:numId w:val="42"/>
              </w:numPr>
              <w:spacing w:beforeLines="20" w:before="72" w:line="400" w:lineRule="exact"/>
              <w:ind w:leftChars="0"/>
              <w:rPr>
                <w:rFonts w:ascii="標楷體" w:eastAsia="標楷體" w:hAnsi="標楷體"/>
                <w:sz w:val="28"/>
                <w:szCs w:val="28"/>
              </w:rPr>
            </w:pPr>
            <w:r w:rsidRPr="008056F1">
              <w:rPr>
                <w:rFonts w:ascii="標楷體" w:eastAsia="標楷體" w:hAnsi="標楷體" w:hint="eastAsia"/>
                <w:sz w:val="28"/>
                <w:szCs w:val="28"/>
              </w:rPr>
              <w:t>違反第十九條第一項未向中央目的事業主管機關通報資通安全事件。</w:t>
            </w:r>
          </w:p>
          <w:p w:rsidR="008056F1" w:rsidRPr="008056F1" w:rsidRDefault="008056F1" w:rsidP="00B32F75">
            <w:pPr>
              <w:pStyle w:val="a9"/>
              <w:numPr>
                <w:ilvl w:val="0"/>
                <w:numId w:val="42"/>
              </w:numPr>
              <w:spacing w:beforeLines="20" w:before="72" w:line="400" w:lineRule="exact"/>
              <w:ind w:leftChars="0"/>
              <w:rPr>
                <w:rFonts w:ascii="標楷體" w:eastAsia="標楷體" w:hAnsi="標楷體"/>
                <w:sz w:val="28"/>
                <w:szCs w:val="28"/>
              </w:rPr>
            </w:pPr>
            <w:r w:rsidRPr="008056F1">
              <w:rPr>
                <w:rFonts w:ascii="標楷體" w:eastAsia="標楷體" w:hAnsi="標楷體" w:hint="eastAsia"/>
                <w:sz w:val="28"/>
                <w:szCs w:val="28"/>
              </w:rPr>
              <w:t>違反第十九條第三項未主動向司法機關通報資通安全事件。</w:t>
            </w:r>
          </w:p>
        </w:tc>
        <w:tc>
          <w:tcPr>
            <w:tcW w:w="1654" w:type="pct"/>
          </w:tcPr>
          <w:p w:rsidR="008056F1" w:rsidRPr="008056F1" w:rsidRDefault="008056F1" w:rsidP="00B32F75">
            <w:pPr>
              <w:spacing w:beforeLines="20" w:before="72" w:line="400" w:lineRule="exact"/>
              <w:rPr>
                <w:rFonts w:ascii="標楷體" w:eastAsia="標楷體" w:hAnsi="標楷體"/>
                <w:sz w:val="28"/>
                <w:szCs w:val="28"/>
              </w:rPr>
            </w:pPr>
          </w:p>
        </w:tc>
        <w:tc>
          <w:tcPr>
            <w:tcW w:w="1277" w:type="pct"/>
          </w:tcPr>
          <w:p w:rsidR="008056F1" w:rsidRPr="008056F1" w:rsidRDefault="008056F1" w:rsidP="00B32F75">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t xml:space="preserve"> 違反第十九條第三項未妥善保全相關資料，由中央目的事業主管機關限期改</w:t>
            </w:r>
            <w:r w:rsidRPr="008056F1">
              <w:rPr>
                <w:rFonts w:ascii="標楷體" w:eastAsia="標楷體" w:hAnsi="標楷體" w:hint="eastAsia"/>
                <w:sz w:val="28"/>
                <w:szCs w:val="28"/>
              </w:rPr>
              <w:lastRenderedPageBreak/>
              <w:t>正，限期未改正者，按次處新台幣二萬元以上二十萬元以下罰鍰。</w:t>
            </w:r>
          </w:p>
        </w:tc>
        <w:tc>
          <w:tcPr>
            <w:tcW w:w="1654" w:type="pct"/>
          </w:tcPr>
          <w:p w:rsidR="008056F1" w:rsidRPr="008056F1" w:rsidRDefault="008056F1" w:rsidP="00B32F75">
            <w:pPr>
              <w:spacing w:beforeLines="20" w:before="72" w:line="400" w:lineRule="exact"/>
              <w:rPr>
                <w:rFonts w:ascii="標楷體" w:eastAsia="標楷體" w:hAnsi="標楷體"/>
                <w:sz w:val="28"/>
                <w:szCs w:val="28"/>
              </w:rPr>
            </w:pPr>
          </w:p>
        </w:tc>
        <w:tc>
          <w:tcPr>
            <w:tcW w:w="1277" w:type="pct"/>
          </w:tcPr>
          <w:p w:rsidR="008056F1" w:rsidRPr="008056F1" w:rsidRDefault="008056F1" w:rsidP="00B32F75">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sz w:val="28"/>
                <w:szCs w:val="28"/>
              </w:rPr>
              <w:lastRenderedPageBreak/>
              <w:t xml:space="preserve"> </w:t>
            </w:r>
            <w:r w:rsidRPr="008056F1">
              <w:rPr>
                <w:rFonts w:ascii="標楷體" w:eastAsia="標楷體" w:hAnsi="標楷體" w:hint="eastAsia"/>
                <w:sz w:val="28"/>
                <w:szCs w:val="28"/>
              </w:rPr>
              <w:t>非公務機關無正當理由違反本法第二十條第四項規定者，由中央目的事業主管機關處新台幣二萬元以上二十萬元以下罰鍰。</w:t>
            </w:r>
          </w:p>
        </w:tc>
        <w:tc>
          <w:tcPr>
            <w:tcW w:w="1654" w:type="pct"/>
          </w:tcPr>
          <w:p w:rsidR="008056F1" w:rsidRPr="008056F1" w:rsidRDefault="008056F1" w:rsidP="00B32F75">
            <w:pPr>
              <w:spacing w:beforeLines="20" w:before="72" w:line="400" w:lineRule="exact"/>
              <w:rPr>
                <w:rFonts w:ascii="標楷體" w:eastAsia="標楷體" w:hAnsi="標楷體"/>
                <w:sz w:val="28"/>
                <w:szCs w:val="28"/>
              </w:rPr>
            </w:pPr>
          </w:p>
        </w:tc>
        <w:tc>
          <w:tcPr>
            <w:tcW w:w="1277" w:type="pct"/>
          </w:tcPr>
          <w:p w:rsidR="008056F1" w:rsidRPr="008056F1" w:rsidRDefault="008056F1" w:rsidP="00B32F75">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sz w:val="28"/>
                <w:szCs w:val="28"/>
              </w:rPr>
              <w:t xml:space="preserve"> </w:t>
            </w:r>
            <w:r w:rsidRPr="008056F1">
              <w:rPr>
                <w:rFonts w:ascii="標楷體" w:eastAsia="標楷體" w:hAnsi="標楷體" w:hint="eastAsia"/>
                <w:sz w:val="28"/>
                <w:szCs w:val="28"/>
              </w:rPr>
              <w:t>非公務機關之代表人、管理人或其他有代表權人，</w:t>
            </w:r>
            <w:proofErr w:type="gramStart"/>
            <w:r w:rsidRPr="008056F1">
              <w:rPr>
                <w:rFonts w:ascii="標楷體" w:eastAsia="標楷體" w:hAnsi="標楷體" w:hint="eastAsia"/>
                <w:sz w:val="28"/>
                <w:szCs w:val="28"/>
              </w:rPr>
              <w:t>因該非公務</w:t>
            </w:r>
            <w:proofErr w:type="gramEnd"/>
            <w:r w:rsidRPr="008056F1">
              <w:rPr>
                <w:rFonts w:ascii="標楷體" w:eastAsia="標楷體" w:hAnsi="標楷體" w:hint="eastAsia"/>
                <w:sz w:val="28"/>
                <w:szCs w:val="28"/>
              </w:rPr>
              <w:t>機關依前五條規定受罰鍰處罰時，除能證明已盡防止義務者外，應並受同一額度罰鍰之處罰。</w:t>
            </w:r>
          </w:p>
        </w:tc>
        <w:tc>
          <w:tcPr>
            <w:tcW w:w="1654" w:type="pct"/>
          </w:tcPr>
          <w:p w:rsidR="008056F1" w:rsidRPr="008056F1" w:rsidRDefault="008056F1" w:rsidP="00B32F75">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B32F75">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t>本法所稱之罰鍰，由主管機關處罰之，並得於行政執行無效果時，移送法院強制執行。</w:t>
            </w:r>
          </w:p>
        </w:tc>
        <w:tc>
          <w:tcPr>
            <w:tcW w:w="1654" w:type="pct"/>
          </w:tcPr>
          <w:p w:rsidR="008056F1" w:rsidRPr="008056F1" w:rsidRDefault="008056F1" w:rsidP="00B32F75">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B32F75">
            <w:pPr>
              <w:spacing w:beforeLines="20" w:before="72" w:line="400" w:lineRule="exact"/>
              <w:rPr>
                <w:rFonts w:ascii="標楷體" w:eastAsia="標楷體" w:hAnsi="標楷體"/>
                <w:sz w:val="28"/>
                <w:szCs w:val="28"/>
              </w:rPr>
            </w:pPr>
          </w:p>
        </w:tc>
      </w:tr>
      <w:tr w:rsidR="0073191D" w:rsidRPr="008056F1" w:rsidTr="0073191D">
        <w:tblPrEx>
          <w:tblLook w:val="00A0" w:firstRow="1" w:lastRow="0" w:firstColumn="1" w:lastColumn="0" w:noHBand="0" w:noVBand="0"/>
        </w:tblPrEx>
        <w:tc>
          <w:tcPr>
            <w:tcW w:w="5000" w:type="pct"/>
            <w:gridSpan w:val="3"/>
          </w:tcPr>
          <w:p w:rsidR="0073191D" w:rsidRPr="008056F1" w:rsidRDefault="0073191D" w:rsidP="0073191D">
            <w:pPr>
              <w:spacing w:beforeLines="20" w:before="72" w:line="400" w:lineRule="exact"/>
              <w:jc w:val="center"/>
              <w:rPr>
                <w:rFonts w:ascii="標楷體" w:eastAsia="標楷體" w:hAnsi="標楷體"/>
                <w:sz w:val="28"/>
                <w:szCs w:val="28"/>
              </w:rPr>
            </w:pPr>
            <w:r w:rsidRPr="008056F1">
              <w:rPr>
                <w:rFonts w:ascii="標楷體" w:eastAsia="標楷體" w:hAnsi="標楷體" w:hint="eastAsia"/>
                <w:b/>
                <w:sz w:val="28"/>
                <w:szCs w:val="28"/>
              </w:rPr>
              <w:t>第六章</w:t>
            </w:r>
            <w:r w:rsidRPr="008056F1">
              <w:rPr>
                <w:rFonts w:ascii="標楷體" w:eastAsia="標楷體" w:hAnsi="標楷體"/>
                <w:b/>
                <w:sz w:val="28"/>
                <w:szCs w:val="28"/>
              </w:rPr>
              <w:t xml:space="preserve">  </w:t>
            </w:r>
            <w:r w:rsidRPr="008056F1">
              <w:rPr>
                <w:rFonts w:ascii="標楷體" w:eastAsia="標楷體" w:hAnsi="標楷體" w:hint="eastAsia"/>
                <w:b/>
                <w:sz w:val="28"/>
                <w:szCs w:val="28"/>
              </w:rPr>
              <w:t>附則</w:t>
            </w: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hint="eastAsia"/>
                <w:sz w:val="28"/>
                <w:szCs w:val="28"/>
              </w:rPr>
              <w:t>公務機關應將其受理之資通安全通報事件傳輸至主管機關建置之公務機關資通</w:t>
            </w:r>
            <w:proofErr w:type="gramStart"/>
            <w:r w:rsidRPr="008056F1">
              <w:rPr>
                <w:rFonts w:ascii="標楷體" w:eastAsia="標楷體" w:hAnsi="標楷體" w:hint="eastAsia"/>
                <w:sz w:val="28"/>
                <w:szCs w:val="28"/>
              </w:rPr>
              <w:t>安全情資分享</w:t>
            </w:r>
            <w:proofErr w:type="gramEnd"/>
            <w:r w:rsidRPr="008056F1">
              <w:rPr>
                <w:rFonts w:ascii="標楷體" w:eastAsia="標楷體" w:hAnsi="標楷體" w:hint="eastAsia"/>
                <w:sz w:val="28"/>
                <w:szCs w:val="28"/>
              </w:rPr>
              <w:t>平台</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r w:rsidRPr="008056F1">
              <w:rPr>
                <w:rFonts w:ascii="標楷體" w:eastAsia="標楷體" w:hAnsi="標楷體" w:hint="eastAsia"/>
                <w:sz w:val="28"/>
                <w:szCs w:val="28"/>
              </w:rPr>
              <w:t>前項通報事件傳輸之內容、程序及方法、</w:t>
            </w:r>
            <w:proofErr w:type="gramStart"/>
            <w:r w:rsidRPr="008056F1">
              <w:rPr>
                <w:rFonts w:ascii="標楷體" w:eastAsia="標楷體" w:hAnsi="標楷體" w:hint="eastAsia"/>
                <w:sz w:val="28"/>
                <w:szCs w:val="28"/>
              </w:rPr>
              <w:t>情資之</w:t>
            </w:r>
            <w:proofErr w:type="gramEnd"/>
            <w:r w:rsidRPr="008056F1">
              <w:rPr>
                <w:rFonts w:ascii="標楷體" w:eastAsia="標楷體" w:hAnsi="標楷體" w:hint="eastAsia"/>
                <w:sz w:val="28"/>
                <w:szCs w:val="28"/>
              </w:rPr>
              <w:t>分析、分享、整合及其他應遵循事項，由主管機關定之。</w:t>
            </w:r>
          </w:p>
        </w:tc>
        <w:tc>
          <w:tcPr>
            <w:tcW w:w="1654" w:type="pct"/>
          </w:tcPr>
          <w:p w:rsidR="008056F1" w:rsidRPr="008056F1" w:rsidRDefault="008056F1" w:rsidP="0073191D">
            <w:pPr>
              <w:spacing w:beforeLines="20" w:before="72" w:line="400" w:lineRule="exact"/>
              <w:rPr>
                <w:rFonts w:ascii="標楷體" w:eastAsia="標楷體" w:hAnsi="標楷體" w:hint="eastAsia"/>
                <w:sz w:val="28"/>
                <w:szCs w:val="28"/>
              </w:rPr>
            </w:pPr>
          </w:p>
        </w:tc>
        <w:tc>
          <w:tcPr>
            <w:tcW w:w="1277" w:type="pct"/>
          </w:tcPr>
          <w:p w:rsidR="008056F1" w:rsidRPr="008056F1" w:rsidRDefault="008056F1" w:rsidP="0073191D">
            <w:pPr>
              <w:spacing w:beforeLines="20" w:before="72" w:line="400" w:lineRule="exact"/>
              <w:ind w:left="599"/>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sz w:val="28"/>
                <w:szCs w:val="28"/>
              </w:rPr>
              <w:t xml:space="preserve"> </w:t>
            </w:r>
            <w:r w:rsidRPr="008056F1">
              <w:rPr>
                <w:rFonts w:ascii="標楷體" w:eastAsia="標楷體" w:hAnsi="標楷體" w:hint="eastAsia"/>
                <w:sz w:val="28"/>
                <w:szCs w:val="28"/>
              </w:rPr>
              <w:t>中央各機關及直轄市、縣</w:t>
            </w:r>
            <w:r w:rsidRPr="008056F1">
              <w:rPr>
                <w:rFonts w:ascii="標楷體" w:eastAsia="標楷體" w:hAnsi="標楷體"/>
                <w:sz w:val="28"/>
                <w:szCs w:val="28"/>
              </w:rPr>
              <w:t xml:space="preserve"> (</w:t>
            </w:r>
            <w:r w:rsidRPr="008056F1">
              <w:rPr>
                <w:rFonts w:ascii="標楷體" w:eastAsia="標楷體" w:hAnsi="標楷體" w:hint="eastAsia"/>
                <w:sz w:val="28"/>
                <w:szCs w:val="28"/>
              </w:rPr>
              <w:t>市</w:t>
            </w:r>
            <w:r w:rsidRPr="008056F1">
              <w:rPr>
                <w:rFonts w:ascii="標楷體" w:eastAsia="標楷體" w:hAnsi="標楷體"/>
                <w:sz w:val="28"/>
                <w:szCs w:val="28"/>
              </w:rPr>
              <w:t xml:space="preserve">) </w:t>
            </w:r>
            <w:r w:rsidRPr="008056F1">
              <w:rPr>
                <w:rFonts w:ascii="標楷體" w:eastAsia="標楷體" w:hAnsi="標楷體" w:hint="eastAsia"/>
                <w:sz w:val="28"/>
                <w:szCs w:val="28"/>
              </w:rPr>
              <w:t>政府應依法編列必要之人力與經費，確保有效推動</w:t>
            </w:r>
            <w:r w:rsidRPr="008056F1">
              <w:rPr>
                <w:rFonts w:ascii="標楷體" w:eastAsia="標楷體" w:hAnsi="標楷體" w:cs="細明體" w:hint="eastAsia"/>
                <w:kern w:val="0"/>
                <w:sz w:val="28"/>
                <w:szCs w:val="28"/>
              </w:rPr>
              <w:t>資通安全政策相關事項。</w:t>
            </w:r>
          </w:p>
          <w:p w:rsidR="008056F1" w:rsidRPr="008056F1" w:rsidRDefault="008056F1" w:rsidP="00B32F75">
            <w:pPr>
              <w:spacing w:beforeLines="20" w:before="72" w:line="400" w:lineRule="exact"/>
              <w:ind w:leftChars="129" w:left="284" w:firstLineChars="200" w:firstLine="560"/>
              <w:rPr>
                <w:rFonts w:ascii="標楷體" w:eastAsia="標楷體" w:hAnsi="標楷體"/>
                <w:sz w:val="28"/>
                <w:szCs w:val="28"/>
              </w:rPr>
            </w:pPr>
          </w:p>
        </w:tc>
        <w:tc>
          <w:tcPr>
            <w:tcW w:w="1654" w:type="pct"/>
          </w:tcPr>
          <w:p w:rsidR="008056F1" w:rsidRPr="008056F1" w:rsidRDefault="008056F1" w:rsidP="00B32F75">
            <w:pPr>
              <w:spacing w:beforeLines="20" w:before="72" w:line="400" w:lineRule="exact"/>
              <w:ind w:leftChars="-2" w:left="517" w:hanging="521"/>
              <w:rPr>
                <w:rFonts w:ascii="標楷體" w:eastAsia="標楷體" w:hAnsi="標楷體" w:hint="eastAsia"/>
                <w:sz w:val="28"/>
                <w:szCs w:val="28"/>
              </w:rPr>
            </w:pPr>
          </w:p>
        </w:tc>
        <w:tc>
          <w:tcPr>
            <w:tcW w:w="1277" w:type="pct"/>
          </w:tcPr>
          <w:p w:rsidR="008056F1" w:rsidRPr="008056F1" w:rsidRDefault="008056F1" w:rsidP="00B32F75">
            <w:pPr>
              <w:spacing w:beforeLines="20" w:before="72" w:line="400" w:lineRule="exact"/>
              <w:ind w:leftChars="-2" w:left="517" w:hanging="521"/>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sz w:val="28"/>
                <w:szCs w:val="28"/>
              </w:rPr>
              <w:lastRenderedPageBreak/>
              <w:t xml:space="preserve"> </w:t>
            </w:r>
            <w:r w:rsidRPr="008056F1">
              <w:rPr>
                <w:rFonts w:ascii="標楷體" w:eastAsia="標楷體" w:hAnsi="標楷體" w:hint="eastAsia"/>
                <w:sz w:val="28"/>
                <w:szCs w:val="28"/>
              </w:rPr>
              <w:t>為提升資通安全，主管機關及中央目的事業主管機關應提供充分資源並整合民間力量，提升全民資通安全意識，並推動下列事項：</w:t>
            </w:r>
          </w:p>
          <w:p w:rsidR="008056F1" w:rsidRPr="008056F1" w:rsidRDefault="008056F1" w:rsidP="00B32F75">
            <w:pPr>
              <w:numPr>
                <w:ilvl w:val="0"/>
                <w:numId w:val="36"/>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資通安全專業人才之培育。</w:t>
            </w:r>
          </w:p>
          <w:p w:rsidR="008056F1" w:rsidRPr="008056F1" w:rsidRDefault="008056F1" w:rsidP="00B32F75">
            <w:pPr>
              <w:numPr>
                <w:ilvl w:val="0"/>
                <w:numId w:val="36"/>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資通安全科技之研發、整合、應用、產學合作及國際交流合作之推動。</w:t>
            </w:r>
          </w:p>
          <w:p w:rsidR="008056F1" w:rsidRPr="008056F1" w:rsidRDefault="008056F1" w:rsidP="00B32F75">
            <w:pPr>
              <w:numPr>
                <w:ilvl w:val="0"/>
                <w:numId w:val="36"/>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sz w:val="28"/>
                <w:szCs w:val="28"/>
              </w:rPr>
              <w:t>資通安全產業發展及推動。</w:t>
            </w:r>
          </w:p>
          <w:p w:rsidR="008056F1" w:rsidRPr="008056F1" w:rsidRDefault="008056F1" w:rsidP="00B32F75">
            <w:pPr>
              <w:numPr>
                <w:ilvl w:val="0"/>
                <w:numId w:val="36"/>
              </w:numPr>
              <w:spacing w:beforeLines="20" w:before="72" w:line="400" w:lineRule="exact"/>
              <w:ind w:left="966" w:hanging="630"/>
              <w:rPr>
                <w:rFonts w:ascii="標楷體" w:eastAsia="標楷體" w:hAnsi="標楷體"/>
                <w:sz w:val="28"/>
                <w:szCs w:val="28"/>
              </w:rPr>
            </w:pPr>
            <w:r w:rsidRPr="008056F1">
              <w:rPr>
                <w:rFonts w:ascii="標楷體" w:eastAsia="標楷體" w:hAnsi="標楷體" w:hint="eastAsia"/>
                <w:kern w:val="0"/>
                <w:sz w:val="28"/>
                <w:szCs w:val="28"/>
              </w:rPr>
              <w:t>資通安全軟體、設備技術規範、</w:t>
            </w:r>
            <w:proofErr w:type="gramStart"/>
            <w:r w:rsidRPr="008056F1">
              <w:rPr>
                <w:rFonts w:ascii="標楷體" w:eastAsia="標楷體" w:hAnsi="標楷體" w:hint="eastAsia"/>
                <w:kern w:val="0"/>
                <w:sz w:val="28"/>
                <w:szCs w:val="28"/>
              </w:rPr>
              <w:t>資安服務</w:t>
            </w:r>
            <w:proofErr w:type="gramEnd"/>
            <w:r w:rsidRPr="008056F1">
              <w:rPr>
                <w:rFonts w:ascii="標楷體" w:eastAsia="標楷體" w:hAnsi="標楷體" w:hint="eastAsia"/>
                <w:kern w:val="0"/>
                <w:sz w:val="28"/>
                <w:szCs w:val="28"/>
              </w:rPr>
              <w:t>及</w:t>
            </w:r>
            <w:proofErr w:type="gramStart"/>
            <w:r w:rsidRPr="008056F1">
              <w:rPr>
                <w:rFonts w:ascii="標楷體" w:eastAsia="標楷體" w:hAnsi="標楷體" w:hint="eastAsia"/>
                <w:kern w:val="0"/>
                <w:sz w:val="28"/>
                <w:szCs w:val="28"/>
              </w:rPr>
              <w:t>其審驗</w:t>
            </w:r>
            <w:proofErr w:type="gramEnd"/>
            <w:r w:rsidRPr="008056F1">
              <w:rPr>
                <w:rFonts w:ascii="標楷體" w:eastAsia="標楷體" w:hAnsi="標楷體" w:hint="eastAsia"/>
                <w:kern w:val="0"/>
                <w:sz w:val="28"/>
                <w:szCs w:val="28"/>
              </w:rPr>
              <w:t>機制之發展及推動。</w:t>
            </w:r>
          </w:p>
        </w:tc>
        <w:tc>
          <w:tcPr>
            <w:tcW w:w="1654" w:type="pct"/>
          </w:tcPr>
          <w:p w:rsidR="008056F1" w:rsidRPr="008056F1" w:rsidRDefault="008056F1" w:rsidP="00B32F75">
            <w:pPr>
              <w:spacing w:beforeLines="20" w:before="72" w:line="400" w:lineRule="exact"/>
              <w:ind w:left="1"/>
              <w:rPr>
                <w:rFonts w:ascii="標楷體" w:eastAsia="標楷體" w:hAnsi="標楷體" w:hint="eastAsia"/>
                <w:sz w:val="28"/>
                <w:szCs w:val="28"/>
              </w:rPr>
            </w:pPr>
          </w:p>
        </w:tc>
        <w:tc>
          <w:tcPr>
            <w:tcW w:w="1277" w:type="pct"/>
          </w:tcPr>
          <w:p w:rsidR="008056F1" w:rsidRPr="008056F1" w:rsidRDefault="008056F1" w:rsidP="00B32F75">
            <w:pPr>
              <w:spacing w:beforeLines="20" w:before="72" w:line="400" w:lineRule="exact"/>
              <w:ind w:left="1"/>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sz w:val="28"/>
                <w:szCs w:val="28"/>
              </w:rPr>
              <w:t xml:space="preserve"> </w:t>
            </w:r>
            <w:r w:rsidRPr="008056F1">
              <w:rPr>
                <w:rFonts w:ascii="標楷體" w:eastAsia="標楷體" w:hAnsi="標楷體" w:hint="eastAsia"/>
                <w:sz w:val="28"/>
                <w:szCs w:val="28"/>
              </w:rPr>
              <w:t>本法施行細則，由主管機關定之</w:t>
            </w:r>
            <w:proofErr w:type="gramStart"/>
            <w:r w:rsidRPr="008056F1">
              <w:rPr>
                <w:rFonts w:ascii="標楷體" w:eastAsia="標楷體" w:hAnsi="標楷體" w:hint="eastAsia"/>
                <w:sz w:val="28"/>
                <w:szCs w:val="28"/>
                <w:vertAlign w:val="superscript"/>
              </w:rPr>
              <w:t>＊</w:t>
            </w:r>
            <w:proofErr w:type="gramEnd"/>
            <w:r w:rsidRPr="008056F1">
              <w:rPr>
                <w:rFonts w:ascii="標楷體" w:eastAsia="標楷體" w:hAnsi="標楷體" w:hint="eastAsia"/>
                <w:sz w:val="28"/>
                <w:szCs w:val="28"/>
              </w:rPr>
              <w:t>。</w:t>
            </w:r>
          </w:p>
        </w:tc>
        <w:tc>
          <w:tcPr>
            <w:tcW w:w="1654" w:type="pct"/>
          </w:tcPr>
          <w:p w:rsidR="008056F1" w:rsidRPr="008056F1" w:rsidRDefault="008056F1" w:rsidP="00B32F75">
            <w:pPr>
              <w:spacing w:beforeLines="20" w:before="72" w:line="400" w:lineRule="exact"/>
              <w:rPr>
                <w:rFonts w:ascii="標楷體" w:eastAsia="標楷體" w:hAnsi="標楷體"/>
                <w:sz w:val="28"/>
                <w:szCs w:val="28"/>
              </w:rPr>
            </w:pPr>
          </w:p>
        </w:tc>
        <w:tc>
          <w:tcPr>
            <w:tcW w:w="1277" w:type="pct"/>
          </w:tcPr>
          <w:p w:rsidR="008056F1" w:rsidRPr="008056F1" w:rsidRDefault="008056F1" w:rsidP="00B32F75">
            <w:pPr>
              <w:spacing w:beforeLines="20" w:before="72" w:line="400" w:lineRule="exact"/>
              <w:rPr>
                <w:rFonts w:ascii="標楷體" w:eastAsia="標楷體" w:hAnsi="標楷體"/>
                <w:sz w:val="28"/>
                <w:szCs w:val="28"/>
              </w:rPr>
            </w:pPr>
          </w:p>
        </w:tc>
      </w:tr>
      <w:tr w:rsidR="008056F1" w:rsidRPr="008056F1" w:rsidTr="0073191D">
        <w:tblPrEx>
          <w:tblLook w:val="00A0" w:firstRow="1" w:lastRow="0" w:firstColumn="1" w:lastColumn="0" w:noHBand="0" w:noVBand="0"/>
        </w:tblPrEx>
        <w:tc>
          <w:tcPr>
            <w:tcW w:w="2069" w:type="pct"/>
          </w:tcPr>
          <w:p w:rsidR="008056F1" w:rsidRPr="008056F1" w:rsidRDefault="008056F1" w:rsidP="008056F1">
            <w:pPr>
              <w:numPr>
                <w:ilvl w:val="0"/>
                <w:numId w:val="1"/>
              </w:numPr>
              <w:spacing w:beforeLines="20" w:before="72" w:line="400" w:lineRule="exact"/>
              <w:ind w:left="308" w:hangingChars="110" w:hanging="308"/>
              <w:rPr>
                <w:rFonts w:ascii="標楷體" w:eastAsia="標楷體" w:hAnsi="標楷體"/>
                <w:sz w:val="28"/>
                <w:szCs w:val="28"/>
              </w:rPr>
            </w:pPr>
            <w:r w:rsidRPr="008056F1">
              <w:rPr>
                <w:rFonts w:ascii="標楷體" w:eastAsia="標楷體" w:hAnsi="標楷體"/>
                <w:sz w:val="28"/>
                <w:szCs w:val="28"/>
              </w:rPr>
              <w:t xml:space="preserve"> </w:t>
            </w:r>
            <w:r w:rsidRPr="008056F1">
              <w:rPr>
                <w:rFonts w:ascii="標楷體" w:eastAsia="標楷體" w:hAnsi="標楷體" w:hint="eastAsia"/>
                <w:sz w:val="28"/>
                <w:szCs w:val="28"/>
              </w:rPr>
              <w:t>本法自公布日施行。</w:t>
            </w:r>
          </w:p>
        </w:tc>
        <w:tc>
          <w:tcPr>
            <w:tcW w:w="1654" w:type="pct"/>
          </w:tcPr>
          <w:p w:rsidR="008056F1" w:rsidRPr="008056F1" w:rsidRDefault="008056F1" w:rsidP="00B32F75">
            <w:pPr>
              <w:spacing w:beforeLines="20" w:before="72" w:line="400" w:lineRule="exact"/>
              <w:rPr>
                <w:rFonts w:ascii="標楷體" w:eastAsia="標楷體" w:hAnsi="標楷體"/>
                <w:sz w:val="28"/>
                <w:szCs w:val="28"/>
              </w:rPr>
            </w:pPr>
          </w:p>
        </w:tc>
        <w:tc>
          <w:tcPr>
            <w:tcW w:w="1277" w:type="pct"/>
          </w:tcPr>
          <w:p w:rsidR="008056F1" w:rsidRPr="008056F1" w:rsidRDefault="008056F1" w:rsidP="00B32F75">
            <w:pPr>
              <w:spacing w:beforeLines="20" w:before="72" w:line="400" w:lineRule="exact"/>
              <w:rPr>
                <w:rFonts w:ascii="標楷體" w:eastAsia="標楷體" w:hAnsi="標楷體"/>
                <w:sz w:val="28"/>
                <w:szCs w:val="28"/>
              </w:rPr>
            </w:pPr>
          </w:p>
        </w:tc>
      </w:tr>
    </w:tbl>
    <w:p w:rsidR="006053C1" w:rsidRPr="008056F1" w:rsidRDefault="006053C1"/>
    <w:sectPr w:rsidR="006053C1" w:rsidRPr="008056F1" w:rsidSect="00221FDD">
      <w:footerReference w:type="defaul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401" w:rsidRDefault="00A05401" w:rsidP="001B2908">
      <w:pPr>
        <w:spacing w:line="240" w:lineRule="auto"/>
      </w:pPr>
      <w:r>
        <w:separator/>
      </w:r>
    </w:p>
  </w:endnote>
  <w:endnote w:type="continuationSeparator" w:id="0">
    <w:p w:rsidR="00A05401" w:rsidRDefault="00A05401" w:rsidP="001B29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00000003" w:usb1="080E0000" w:usb2="00000016" w:usb3="00000000" w:csb0="00100001" w:csb1="00000000"/>
  </w:font>
  <w:font w:name="細明體">
    <w:altName w:val="MingLiU"/>
    <w:panose1 w:val="02020509000000000000"/>
    <w:charset w:val="88"/>
    <w:family w:val="modern"/>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148" w:rsidRDefault="0092229F">
    <w:pPr>
      <w:pStyle w:val="a5"/>
      <w:jc w:val="center"/>
    </w:pPr>
    <w:r>
      <w:fldChar w:fldCharType="begin"/>
    </w:r>
    <w:r w:rsidR="001B243B">
      <w:instrText xml:space="preserve"> PAGE   \* MERGEFORMAT </w:instrText>
    </w:r>
    <w:r>
      <w:fldChar w:fldCharType="separate"/>
    </w:r>
    <w:r w:rsidR="0073191D" w:rsidRPr="0073191D">
      <w:rPr>
        <w:noProof/>
        <w:lang w:val="zh-TW"/>
      </w:rPr>
      <w:t>1</w:t>
    </w:r>
    <w:r>
      <w:rPr>
        <w:noProof/>
        <w:lang w:val="zh-TW"/>
      </w:rPr>
      <w:fldChar w:fldCharType="end"/>
    </w:r>
  </w:p>
  <w:p w:rsidR="00F30148" w:rsidRDefault="00F3014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401" w:rsidRDefault="00A05401" w:rsidP="001B2908">
      <w:pPr>
        <w:spacing w:line="240" w:lineRule="auto"/>
      </w:pPr>
      <w:r>
        <w:separator/>
      </w:r>
    </w:p>
  </w:footnote>
  <w:footnote w:type="continuationSeparator" w:id="0">
    <w:p w:rsidR="00A05401" w:rsidRDefault="00A05401" w:rsidP="001B290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0320"/>
    <w:multiLevelType w:val="hybridMultilevel"/>
    <w:tmpl w:val="4D0A09C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1">
    <w:nsid w:val="01997D46"/>
    <w:multiLevelType w:val="hybridMultilevel"/>
    <w:tmpl w:val="F6244AEC"/>
    <w:lvl w:ilvl="0" w:tplc="D7CAF22E">
      <w:start w:val="1"/>
      <w:numFmt w:val="taiwaneseCountingThousand"/>
      <w:lvlText w:val="%1、"/>
      <w:lvlJc w:val="left"/>
      <w:pPr>
        <w:ind w:left="764" w:hanging="480"/>
      </w:pPr>
      <w:rPr>
        <w:rFonts w:cs="Times New Roman" w:hint="eastAsia"/>
        <w:b w:val="0"/>
      </w:rPr>
    </w:lvl>
    <w:lvl w:ilvl="1" w:tplc="04090019" w:tentative="1">
      <w:start w:val="1"/>
      <w:numFmt w:val="ideographTraditional"/>
      <w:lvlText w:val="%2、"/>
      <w:lvlJc w:val="left"/>
      <w:pPr>
        <w:ind w:left="1244" w:hanging="480"/>
      </w:pPr>
      <w:rPr>
        <w:rFonts w:cs="Times New Roman"/>
      </w:rPr>
    </w:lvl>
    <w:lvl w:ilvl="2" w:tplc="0409001B" w:tentative="1">
      <w:start w:val="1"/>
      <w:numFmt w:val="lowerRoman"/>
      <w:lvlText w:val="%3."/>
      <w:lvlJc w:val="right"/>
      <w:pPr>
        <w:ind w:left="1724" w:hanging="480"/>
      </w:pPr>
      <w:rPr>
        <w:rFonts w:cs="Times New Roman"/>
      </w:rPr>
    </w:lvl>
    <w:lvl w:ilvl="3" w:tplc="0409000F" w:tentative="1">
      <w:start w:val="1"/>
      <w:numFmt w:val="decimal"/>
      <w:lvlText w:val="%4."/>
      <w:lvlJc w:val="left"/>
      <w:pPr>
        <w:ind w:left="2204" w:hanging="480"/>
      </w:pPr>
      <w:rPr>
        <w:rFonts w:cs="Times New Roman"/>
      </w:rPr>
    </w:lvl>
    <w:lvl w:ilvl="4" w:tplc="04090019" w:tentative="1">
      <w:start w:val="1"/>
      <w:numFmt w:val="ideographTraditional"/>
      <w:lvlText w:val="%5、"/>
      <w:lvlJc w:val="left"/>
      <w:pPr>
        <w:ind w:left="2684" w:hanging="480"/>
      </w:pPr>
      <w:rPr>
        <w:rFonts w:cs="Times New Roman"/>
      </w:rPr>
    </w:lvl>
    <w:lvl w:ilvl="5" w:tplc="0409001B" w:tentative="1">
      <w:start w:val="1"/>
      <w:numFmt w:val="lowerRoman"/>
      <w:lvlText w:val="%6."/>
      <w:lvlJc w:val="right"/>
      <w:pPr>
        <w:ind w:left="3164" w:hanging="480"/>
      </w:pPr>
      <w:rPr>
        <w:rFonts w:cs="Times New Roman"/>
      </w:rPr>
    </w:lvl>
    <w:lvl w:ilvl="6" w:tplc="0409000F" w:tentative="1">
      <w:start w:val="1"/>
      <w:numFmt w:val="decimal"/>
      <w:lvlText w:val="%7."/>
      <w:lvlJc w:val="left"/>
      <w:pPr>
        <w:ind w:left="3644" w:hanging="480"/>
      </w:pPr>
      <w:rPr>
        <w:rFonts w:cs="Times New Roman"/>
      </w:rPr>
    </w:lvl>
    <w:lvl w:ilvl="7" w:tplc="04090019" w:tentative="1">
      <w:start w:val="1"/>
      <w:numFmt w:val="ideographTraditional"/>
      <w:lvlText w:val="%8、"/>
      <w:lvlJc w:val="left"/>
      <w:pPr>
        <w:ind w:left="4124" w:hanging="480"/>
      </w:pPr>
      <w:rPr>
        <w:rFonts w:cs="Times New Roman"/>
      </w:rPr>
    </w:lvl>
    <w:lvl w:ilvl="8" w:tplc="0409001B" w:tentative="1">
      <w:start w:val="1"/>
      <w:numFmt w:val="lowerRoman"/>
      <w:lvlText w:val="%9."/>
      <w:lvlJc w:val="right"/>
      <w:pPr>
        <w:ind w:left="4604" w:hanging="480"/>
      </w:pPr>
      <w:rPr>
        <w:rFonts w:cs="Times New Roman"/>
      </w:rPr>
    </w:lvl>
  </w:abstractNum>
  <w:abstractNum w:abstractNumId="2">
    <w:nsid w:val="01B65F77"/>
    <w:multiLevelType w:val="hybridMultilevel"/>
    <w:tmpl w:val="FE8AA540"/>
    <w:lvl w:ilvl="0" w:tplc="2D86C76E">
      <w:start w:val="1"/>
      <w:numFmt w:val="taiwaneseCountingThousand"/>
      <w:lvlText w:val="%1、"/>
      <w:lvlJc w:val="left"/>
      <w:pPr>
        <w:ind w:left="1048" w:hanging="480"/>
      </w:pPr>
      <w:rPr>
        <w:rFonts w:cs="Times New Roman" w:hint="eastAsia"/>
        <w:b w:val="0"/>
        <w:color w:val="00000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3">
    <w:nsid w:val="031911CD"/>
    <w:multiLevelType w:val="hybridMultilevel"/>
    <w:tmpl w:val="496641B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7322EC2"/>
    <w:multiLevelType w:val="hybridMultilevel"/>
    <w:tmpl w:val="170A464C"/>
    <w:lvl w:ilvl="0" w:tplc="58924B38">
      <w:start w:val="1"/>
      <w:numFmt w:val="taiwaneseCountingThousand"/>
      <w:lvlText w:val="%1、"/>
      <w:lvlJc w:val="left"/>
      <w:pPr>
        <w:ind w:left="450" w:hanging="45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08D21A7A"/>
    <w:multiLevelType w:val="hybridMultilevel"/>
    <w:tmpl w:val="FE8AA540"/>
    <w:lvl w:ilvl="0" w:tplc="2D86C76E">
      <w:start w:val="1"/>
      <w:numFmt w:val="taiwaneseCountingThousand"/>
      <w:lvlText w:val="%1、"/>
      <w:lvlJc w:val="left"/>
      <w:pPr>
        <w:ind w:left="1048" w:hanging="480"/>
      </w:pPr>
      <w:rPr>
        <w:rFonts w:cs="Times New Roman" w:hint="eastAsia"/>
        <w:b w:val="0"/>
        <w:color w:val="00000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6">
    <w:nsid w:val="09CB5ADF"/>
    <w:multiLevelType w:val="hybridMultilevel"/>
    <w:tmpl w:val="4D0A09C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7">
    <w:nsid w:val="0C1C52C6"/>
    <w:multiLevelType w:val="hybridMultilevel"/>
    <w:tmpl w:val="8654DFB6"/>
    <w:lvl w:ilvl="0" w:tplc="F0184FE8">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nsid w:val="13B12B44"/>
    <w:multiLevelType w:val="hybridMultilevel"/>
    <w:tmpl w:val="F6244AEC"/>
    <w:lvl w:ilvl="0" w:tplc="D7CAF22E">
      <w:start w:val="1"/>
      <w:numFmt w:val="taiwaneseCountingThousand"/>
      <w:lvlText w:val="%1、"/>
      <w:lvlJc w:val="left"/>
      <w:pPr>
        <w:ind w:left="1048" w:hanging="480"/>
      </w:pPr>
      <w:rPr>
        <w:rFonts w:cs="Times New Roman" w:hint="eastAsia"/>
        <w:b w:val="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9">
    <w:nsid w:val="146D55D5"/>
    <w:multiLevelType w:val="hybridMultilevel"/>
    <w:tmpl w:val="16BC804A"/>
    <w:lvl w:ilvl="0" w:tplc="F0184FE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5AE7C0D"/>
    <w:multiLevelType w:val="hybridMultilevel"/>
    <w:tmpl w:val="496641B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1661490E"/>
    <w:multiLevelType w:val="hybridMultilevel"/>
    <w:tmpl w:val="FE8AA540"/>
    <w:lvl w:ilvl="0" w:tplc="2D86C76E">
      <w:start w:val="1"/>
      <w:numFmt w:val="taiwaneseCountingThousand"/>
      <w:lvlText w:val="%1、"/>
      <w:lvlJc w:val="left"/>
      <w:pPr>
        <w:ind w:left="1048" w:hanging="480"/>
      </w:pPr>
      <w:rPr>
        <w:rFonts w:cs="Times New Roman" w:hint="eastAsia"/>
        <w:b w:val="0"/>
        <w:color w:val="00000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12">
    <w:nsid w:val="19586C5A"/>
    <w:multiLevelType w:val="hybridMultilevel"/>
    <w:tmpl w:val="453A1A40"/>
    <w:lvl w:ilvl="0" w:tplc="F5D2244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19C42D0D"/>
    <w:multiLevelType w:val="hybridMultilevel"/>
    <w:tmpl w:val="7A7EAA56"/>
    <w:lvl w:ilvl="0" w:tplc="1C16E540">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nsid w:val="1F7E6F9A"/>
    <w:multiLevelType w:val="hybridMultilevel"/>
    <w:tmpl w:val="63842750"/>
    <w:lvl w:ilvl="0" w:tplc="F0184FE8">
      <w:start w:val="1"/>
      <w:numFmt w:val="taiwaneseCountingThousand"/>
      <w:lvlText w:val="%1、"/>
      <w:lvlJc w:val="left"/>
      <w:pPr>
        <w:ind w:left="1048" w:hanging="480"/>
      </w:pPr>
      <w:rPr>
        <w:rFonts w:cs="Times New Roman" w:hint="eastAsia"/>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15">
    <w:nsid w:val="22350C76"/>
    <w:multiLevelType w:val="hybridMultilevel"/>
    <w:tmpl w:val="63842750"/>
    <w:lvl w:ilvl="0" w:tplc="F0184FE8">
      <w:start w:val="1"/>
      <w:numFmt w:val="taiwaneseCountingThousand"/>
      <w:lvlText w:val="%1、"/>
      <w:lvlJc w:val="left"/>
      <w:pPr>
        <w:ind w:left="1048" w:hanging="480"/>
      </w:pPr>
      <w:rPr>
        <w:rFonts w:cs="Times New Roman" w:hint="eastAsia"/>
      </w:rPr>
    </w:lvl>
    <w:lvl w:ilvl="1" w:tplc="04090019">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16">
    <w:nsid w:val="22682E25"/>
    <w:multiLevelType w:val="hybridMultilevel"/>
    <w:tmpl w:val="4D0A09C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17">
    <w:nsid w:val="26095336"/>
    <w:multiLevelType w:val="hybridMultilevel"/>
    <w:tmpl w:val="7C08B866"/>
    <w:lvl w:ilvl="0" w:tplc="A7FE599C">
      <w:start w:val="1"/>
      <w:numFmt w:val="taiwaneseCountingThousand"/>
      <w:lvlText w:val="%1、"/>
      <w:lvlJc w:val="left"/>
      <w:pPr>
        <w:ind w:left="1048" w:hanging="480"/>
      </w:pPr>
      <w:rPr>
        <w:rFonts w:cs="Times New Roman" w:hint="eastAsia"/>
        <w:b w:val="0"/>
        <w:color w:val="00000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18">
    <w:nsid w:val="2889528A"/>
    <w:multiLevelType w:val="hybridMultilevel"/>
    <w:tmpl w:val="F6244AEC"/>
    <w:lvl w:ilvl="0" w:tplc="D7CAF22E">
      <w:start w:val="1"/>
      <w:numFmt w:val="taiwaneseCountingThousand"/>
      <w:lvlText w:val="%1、"/>
      <w:lvlJc w:val="left"/>
      <w:pPr>
        <w:ind w:left="1048" w:hanging="480"/>
      </w:pPr>
      <w:rPr>
        <w:rFonts w:cs="Times New Roman" w:hint="eastAsia"/>
        <w:b w:val="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19">
    <w:nsid w:val="2CB30FB1"/>
    <w:multiLevelType w:val="hybridMultilevel"/>
    <w:tmpl w:val="F6244AEC"/>
    <w:lvl w:ilvl="0" w:tplc="D7CAF22E">
      <w:start w:val="1"/>
      <w:numFmt w:val="taiwaneseCountingThousand"/>
      <w:lvlText w:val="%1、"/>
      <w:lvlJc w:val="left"/>
      <w:pPr>
        <w:ind w:left="1048" w:hanging="480"/>
      </w:pPr>
      <w:rPr>
        <w:rFonts w:cs="Times New Roman" w:hint="eastAsia"/>
        <w:b w:val="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20">
    <w:nsid w:val="2CCD62DE"/>
    <w:multiLevelType w:val="hybridMultilevel"/>
    <w:tmpl w:val="82846A2C"/>
    <w:lvl w:ilvl="0" w:tplc="9D904110">
      <w:start w:val="1"/>
      <w:numFmt w:val="taiwaneseCountingThousand"/>
      <w:lvlText w:val="第%1條"/>
      <w:lvlJc w:val="left"/>
      <w:pPr>
        <w:ind w:left="480" w:hanging="480"/>
      </w:pPr>
      <w:rPr>
        <w:rFonts w:cs="Times New Roman" w:hint="eastAsia"/>
      </w:rPr>
    </w:lvl>
    <w:lvl w:ilvl="1" w:tplc="04090019">
      <w:start w:val="1"/>
      <w:numFmt w:val="ideographTraditional"/>
      <w:lvlText w:val="%2、"/>
      <w:lvlJc w:val="left"/>
      <w:pPr>
        <w:ind w:left="960" w:hanging="480"/>
      </w:pPr>
      <w:rPr>
        <w:rFonts w:cs="Times New Roman"/>
      </w:rPr>
    </w:lvl>
    <w:lvl w:ilvl="2" w:tplc="9D0C6180">
      <w:start w:val="1"/>
      <w:numFmt w:val="taiwaneseCountingThousand"/>
      <w:lvlText w:val="(%3)"/>
      <w:lvlJc w:val="left"/>
      <w:pPr>
        <w:ind w:left="1680" w:hanging="720"/>
      </w:pPr>
      <w:rPr>
        <w:rFonts w:cs="Times New Roman" w:hint="default"/>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nsid w:val="32F51789"/>
    <w:multiLevelType w:val="hybridMultilevel"/>
    <w:tmpl w:val="8D36D4AA"/>
    <w:lvl w:ilvl="0" w:tplc="FFC6039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3937287E"/>
    <w:multiLevelType w:val="hybridMultilevel"/>
    <w:tmpl w:val="C450AABA"/>
    <w:lvl w:ilvl="0" w:tplc="F0184FE8">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3">
    <w:nsid w:val="3F847A22"/>
    <w:multiLevelType w:val="hybridMultilevel"/>
    <w:tmpl w:val="82846A2C"/>
    <w:lvl w:ilvl="0" w:tplc="9D904110">
      <w:start w:val="1"/>
      <w:numFmt w:val="taiwaneseCountingThousand"/>
      <w:lvlText w:val="第%1條"/>
      <w:lvlJc w:val="left"/>
      <w:pPr>
        <w:ind w:left="480" w:hanging="480"/>
      </w:pPr>
      <w:rPr>
        <w:rFonts w:cs="Times New Roman" w:hint="eastAsia"/>
      </w:rPr>
    </w:lvl>
    <w:lvl w:ilvl="1" w:tplc="04090019">
      <w:start w:val="1"/>
      <w:numFmt w:val="ideographTraditional"/>
      <w:lvlText w:val="%2、"/>
      <w:lvlJc w:val="left"/>
      <w:pPr>
        <w:ind w:left="960" w:hanging="480"/>
      </w:pPr>
      <w:rPr>
        <w:rFonts w:cs="Times New Roman"/>
      </w:rPr>
    </w:lvl>
    <w:lvl w:ilvl="2" w:tplc="9D0C6180">
      <w:start w:val="1"/>
      <w:numFmt w:val="taiwaneseCountingThousand"/>
      <w:lvlText w:val="(%3)"/>
      <w:lvlJc w:val="left"/>
      <w:pPr>
        <w:ind w:left="1680" w:hanging="720"/>
      </w:pPr>
      <w:rPr>
        <w:rFonts w:cs="Times New Roman" w:hint="default"/>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4">
    <w:nsid w:val="44D42D6E"/>
    <w:multiLevelType w:val="hybridMultilevel"/>
    <w:tmpl w:val="63842750"/>
    <w:lvl w:ilvl="0" w:tplc="F0184FE8">
      <w:start w:val="1"/>
      <w:numFmt w:val="taiwaneseCountingThousand"/>
      <w:lvlText w:val="%1、"/>
      <w:lvlJc w:val="left"/>
      <w:pPr>
        <w:ind w:left="764" w:hanging="480"/>
      </w:pPr>
      <w:rPr>
        <w:rFonts w:cs="Times New Roman" w:hint="eastAsia"/>
      </w:rPr>
    </w:lvl>
    <w:lvl w:ilvl="1" w:tplc="04090019">
      <w:start w:val="1"/>
      <w:numFmt w:val="ideographTraditional"/>
      <w:lvlText w:val="%2、"/>
      <w:lvlJc w:val="left"/>
      <w:pPr>
        <w:ind w:left="1244" w:hanging="480"/>
      </w:pPr>
      <w:rPr>
        <w:rFonts w:cs="Times New Roman"/>
      </w:rPr>
    </w:lvl>
    <w:lvl w:ilvl="2" w:tplc="0409001B" w:tentative="1">
      <w:start w:val="1"/>
      <w:numFmt w:val="lowerRoman"/>
      <w:lvlText w:val="%3."/>
      <w:lvlJc w:val="right"/>
      <w:pPr>
        <w:ind w:left="1724" w:hanging="480"/>
      </w:pPr>
      <w:rPr>
        <w:rFonts w:cs="Times New Roman"/>
      </w:rPr>
    </w:lvl>
    <w:lvl w:ilvl="3" w:tplc="0409000F" w:tentative="1">
      <w:start w:val="1"/>
      <w:numFmt w:val="decimal"/>
      <w:lvlText w:val="%4."/>
      <w:lvlJc w:val="left"/>
      <w:pPr>
        <w:ind w:left="2204" w:hanging="480"/>
      </w:pPr>
      <w:rPr>
        <w:rFonts w:cs="Times New Roman"/>
      </w:rPr>
    </w:lvl>
    <w:lvl w:ilvl="4" w:tplc="04090019" w:tentative="1">
      <w:start w:val="1"/>
      <w:numFmt w:val="ideographTraditional"/>
      <w:lvlText w:val="%5、"/>
      <w:lvlJc w:val="left"/>
      <w:pPr>
        <w:ind w:left="2684" w:hanging="480"/>
      </w:pPr>
      <w:rPr>
        <w:rFonts w:cs="Times New Roman"/>
      </w:rPr>
    </w:lvl>
    <w:lvl w:ilvl="5" w:tplc="0409001B" w:tentative="1">
      <w:start w:val="1"/>
      <w:numFmt w:val="lowerRoman"/>
      <w:lvlText w:val="%6."/>
      <w:lvlJc w:val="right"/>
      <w:pPr>
        <w:ind w:left="3164" w:hanging="480"/>
      </w:pPr>
      <w:rPr>
        <w:rFonts w:cs="Times New Roman"/>
      </w:rPr>
    </w:lvl>
    <w:lvl w:ilvl="6" w:tplc="0409000F" w:tentative="1">
      <w:start w:val="1"/>
      <w:numFmt w:val="decimal"/>
      <w:lvlText w:val="%7."/>
      <w:lvlJc w:val="left"/>
      <w:pPr>
        <w:ind w:left="3644" w:hanging="480"/>
      </w:pPr>
      <w:rPr>
        <w:rFonts w:cs="Times New Roman"/>
      </w:rPr>
    </w:lvl>
    <w:lvl w:ilvl="7" w:tplc="04090019" w:tentative="1">
      <w:start w:val="1"/>
      <w:numFmt w:val="ideographTraditional"/>
      <w:lvlText w:val="%8、"/>
      <w:lvlJc w:val="left"/>
      <w:pPr>
        <w:ind w:left="4124" w:hanging="480"/>
      </w:pPr>
      <w:rPr>
        <w:rFonts w:cs="Times New Roman"/>
      </w:rPr>
    </w:lvl>
    <w:lvl w:ilvl="8" w:tplc="0409001B" w:tentative="1">
      <w:start w:val="1"/>
      <w:numFmt w:val="lowerRoman"/>
      <w:lvlText w:val="%9."/>
      <w:lvlJc w:val="right"/>
      <w:pPr>
        <w:ind w:left="4604" w:hanging="480"/>
      </w:pPr>
      <w:rPr>
        <w:rFonts w:cs="Times New Roman"/>
      </w:rPr>
    </w:lvl>
  </w:abstractNum>
  <w:abstractNum w:abstractNumId="25">
    <w:nsid w:val="45562EC7"/>
    <w:multiLevelType w:val="hybridMultilevel"/>
    <w:tmpl w:val="496641B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4B0830C2"/>
    <w:multiLevelType w:val="hybridMultilevel"/>
    <w:tmpl w:val="7858347E"/>
    <w:lvl w:ilvl="0" w:tplc="4F04DF4E">
      <w:start w:val="1"/>
      <w:numFmt w:val="taiwaneseCountingThousand"/>
      <w:lvlText w:val="%1、"/>
      <w:lvlJc w:val="left"/>
      <w:pPr>
        <w:ind w:left="1028" w:hanging="720"/>
      </w:pPr>
      <w:rPr>
        <w:rFonts w:cs="Times New Roman" w:hint="default"/>
      </w:rPr>
    </w:lvl>
    <w:lvl w:ilvl="1" w:tplc="04090019" w:tentative="1">
      <w:start w:val="1"/>
      <w:numFmt w:val="ideographTraditional"/>
      <w:lvlText w:val="%2、"/>
      <w:lvlJc w:val="left"/>
      <w:pPr>
        <w:ind w:left="1268" w:hanging="480"/>
      </w:pPr>
      <w:rPr>
        <w:rFonts w:cs="Times New Roman"/>
      </w:rPr>
    </w:lvl>
    <w:lvl w:ilvl="2" w:tplc="0409001B" w:tentative="1">
      <w:start w:val="1"/>
      <w:numFmt w:val="lowerRoman"/>
      <w:lvlText w:val="%3."/>
      <w:lvlJc w:val="right"/>
      <w:pPr>
        <w:ind w:left="1748" w:hanging="480"/>
      </w:pPr>
      <w:rPr>
        <w:rFonts w:cs="Times New Roman"/>
      </w:rPr>
    </w:lvl>
    <w:lvl w:ilvl="3" w:tplc="0409000F" w:tentative="1">
      <w:start w:val="1"/>
      <w:numFmt w:val="decimal"/>
      <w:lvlText w:val="%4."/>
      <w:lvlJc w:val="left"/>
      <w:pPr>
        <w:ind w:left="2228" w:hanging="480"/>
      </w:pPr>
      <w:rPr>
        <w:rFonts w:cs="Times New Roman"/>
      </w:rPr>
    </w:lvl>
    <w:lvl w:ilvl="4" w:tplc="04090019" w:tentative="1">
      <w:start w:val="1"/>
      <w:numFmt w:val="ideographTraditional"/>
      <w:lvlText w:val="%5、"/>
      <w:lvlJc w:val="left"/>
      <w:pPr>
        <w:ind w:left="2708" w:hanging="480"/>
      </w:pPr>
      <w:rPr>
        <w:rFonts w:cs="Times New Roman"/>
      </w:rPr>
    </w:lvl>
    <w:lvl w:ilvl="5" w:tplc="0409001B" w:tentative="1">
      <w:start w:val="1"/>
      <w:numFmt w:val="lowerRoman"/>
      <w:lvlText w:val="%6."/>
      <w:lvlJc w:val="right"/>
      <w:pPr>
        <w:ind w:left="3188" w:hanging="480"/>
      </w:pPr>
      <w:rPr>
        <w:rFonts w:cs="Times New Roman"/>
      </w:rPr>
    </w:lvl>
    <w:lvl w:ilvl="6" w:tplc="0409000F" w:tentative="1">
      <w:start w:val="1"/>
      <w:numFmt w:val="decimal"/>
      <w:lvlText w:val="%7."/>
      <w:lvlJc w:val="left"/>
      <w:pPr>
        <w:ind w:left="3668" w:hanging="480"/>
      </w:pPr>
      <w:rPr>
        <w:rFonts w:cs="Times New Roman"/>
      </w:rPr>
    </w:lvl>
    <w:lvl w:ilvl="7" w:tplc="04090019" w:tentative="1">
      <w:start w:val="1"/>
      <w:numFmt w:val="ideographTraditional"/>
      <w:lvlText w:val="%8、"/>
      <w:lvlJc w:val="left"/>
      <w:pPr>
        <w:ind w:left="4148" w:hanging="480"/>
      </w:pPr>
      <w:rPr>
        <w:rFonts w:cs="Times New Roman"/>
      </w:rPr>
    </w:lvl>
    <w:lvl w:ilvl="8" w:tplc="0409001B" w:tentative="1">
      <w:start w:val="1"/>
      <w:numFmt w:val="lowerRoman"/>
      <w:lvlText w:val="%9."/>
      <w:lvlJc w:val="right"/>
      <w:pPr>
        <w:ind w:left="4628" w:hanging="480"/>
      </w:pPr>
      <w:rPr>
        <w:rFonts w:cs="Times New Roman"/>
      </w:rPr>
    </w:lvl>
  </w:abstractNum>
  <w:abstractNum w:abstractNumId="27">
    <w:nsid w:val="4B8747DB"/>
    <w:multiLevelType w:val="hybridMultilevel"/>
    <w:tmpl w:val="BB6CD69E"/>
    <w:lvl w:ilvl="0" w:tplc="F850C4E8">
      <w:start w:val="1"/>
      <w:numFmt w:val="taiwaneseCountingThousand"/>
      <w:lvlText w:val="%1、"/>
      <w:lvlJc w:val="left"/>
      <w:pPr>
        <w:ind w:left="1048" w:hanging="480"/>
      </w:pPr>
      <w:rPr>
        <w:rFonts w:cs="Times New Roman" w:hint="eastAsia"/>
        <w:b w:val="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28">
    <w:nsid w:val="4CEB208F"/>
    <w:multiLevelType w:val="hybridMultilevel"/>
    <w:tmpl w:val="8D36D4AA"/>
    <w:lvl w:ilvl="0" w:tplc="FFC6039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4FAC3C79"/>
    <w:multiLevelType w:val="hybridMultilevel"/>
    <w:tmpl w:val="147C3196"/>
    <w:lvl w:ilvl="0" w:tplc="339C2EB4">
      <w:start w:val="1"/>
      <w:numFmt w:val="taiwaneseCountingThousand"/>
      <w:lvlText w:val="%1、"/>
      <w:lvlJc w:val="left"/>
      <w:pPr>
        <w:ind w:left="1028" w:hanging="720"/>
      </w:pPr>
      <w:rPr>
        <w:rFonts w:cs="Times New Roman" w:hint="default"/>
      </w:rPr>
    </w:lvl>
    <w:lvl w:ilvl="1" w:tplc="04090019" w:tentative="1">
      <w:start w:val="1"/>
      <w:numFmt w:val="ideographTraditional"/>
      <w:lvlText w:val="%2、"/>
      <w:lvlJc w:val="left"/>
      <w:pPr>
        <w:ind w:left="1268" w:hanging="480"/>
      </w:pPr>
      <w:rPr>
        <w:rFonts w:cs="Times New Roman"/>
      </w:rPr>
    </w:lvl>
    <w:lvl w:ilvl="2" w:tplc="0409001B" w:tentative="1">
      <w:start w:val="1"/>
      <w:numFmt w:val="lowerRoman"/>
      <w:lvlText w:val="%3."/>
      <w:lvlJc w:val="right"/>
      <w:pPr>
        <w:ind w:left="1748" w:hanging="480"/>
      </w:pPr>
      <w:rPr>
        <w:rFonts w:cs="Times New Roman"/>
      </w:rPr>
    </w:lvl>
    <w:lvl w:ilvl="3" w:tplc="0409000F" w:tentative="1">
      <w:start w:val="1"/>
      <w:numFmt w:val="decimal"/>
      <w:lvlText w:val="%4."/>
      <w:lvlJc w:val="left"/>
      <w:pPr>
        <w:ind w:left="2228" w:hanging="480"/>
      </w:pPr>
      <w:rPr>
        <w:rFonts w:cs="Times New Roman"/>
      </w:rPr>
    </w:lvl>
    <w:lvl w:ilvl="4" w:tplc="04090019" w:tentative="1">
      <w:start w:val="1"/>
      <w:numFmt w:val="ideographTraditional"/>
      <w:lvlText w:val="%5、"/>
      <w:lvlJc w:val="left"/>
      <w:pPr>
        <w:ind w:left="2708" w:hanging="480"/>
      </w:pPr>
      <w:rPr>
        <w:rFonts w:cs="Times New Roman"/>
      </w:rPr>
    </w:lvl>
    <w:lvl w:ilvl="5" w:tplc="0409001B" w:tentative="1">
      <w:start w:val="1"/>
      <w:numFmt w:val="lowerRoman"/>
      <w:lvlText w:val="%6."/>
      <w:lvlJc w:val="right"/>
      <w:pPr>
        <w:ind w:left="3188" w:hanging="480"/>
      </w:pPr>
      <w:rPr>
        <w:rFonts w:cs="Times New Roman"/>
      </w:rPr>
    </w:lvl>
    <w:lvl w:ilvl="6" w:tplc="0409000F" w:tentative="1">
      <w:start w:val="1"/>
      <w:numFmt w:val="decimal"/>
      <w:lvlText w:val="%7."/>
      <w:lvlJc w:val="left"/>
      <w:pPr>
        <w:ind w:left="3668" w:hanging="480"/>
      </w:pPr>
      <w:rPr>
        <w:rFonts w:cs="Times New Roman"/>
      </w:rPr>
    </w:lvl>
    <w:lvl w:ilvl="7" w:tplc="04090019" w:tentative="1">
      <w:start w:val="1"/>
      <w:numFmt w:val="ideographTraditional"/>
      <w:lvlText w:val="%8、"/>
      <w:lvlJc w:val="left"/>
      <w:pPr>
        <w:ind w:left="4148" w:hanging="480"/>
      </w:pPr>
      <w:rPr>
        <w:rFonts w:cs="Times New Roman"/>
      </w:rPr>
    </w:lvl>
    <w:lvl w:ilvl="8" w:tplc="0409001B" w:tentative="1">
      <w:start w:val="1"/>
      <w:numFmt w:val="lowerRoman"/>
      <w:lvlText w:val="%9."/>
      <w:lvlJc w:val="right"/>
      <w:pPr>
        <w:ind w:left="4628" w:hanging="480"/>
      </w:pPr>
      <w:rPr>
        <w:rFonts w:cs="Times New Roman"/>
      </w:rPr>
    </w:lvl>
  </w:abstractNum>
  <w:abstractNum w:abstractNumId="30">
    <w:nsid w:val="51B0043E"/>
    <w:multiLevelType w:val="hybridMultilevel"/>
    <w:tmpl w:val="C450AABA"/>
    <w:lvl w:ilvl="0" w:tplc="F0184FE8">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1">
    <w:nsid w:val="56B6561C"/>
    <w:multiLevelType w:val="hybridMultilevel"/>
    <w:tmpl w:val="F6244AEC"/>
    <w:lvl w:ilvl="0" w:tplc="D7CAF22E">
      <w:start w:val="1"/>
      <w:numFmt w:val="taiwaneseCountingThousand"/>
      <w:lvlText w:val="%1、"/>
      <w:lvlJc w:val="left"/>
      <w:pPr>
        <w:ind w:left="1048" w:hanging="480"/>
      </w:pPr>
      <w:rPr>
        <w:rFonts w:cs="Times New Roman" w:hint="eastAsia"/>
        <w:b w:val="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32">
    <w:nsid w:val="581C6ABF"/>
    <w:multiLevelType w:val="hybridMultilevel"/>
    <w:tmpl w:val="63842750"/>
    <w:lvl w:ilvl="0" w:tplc="F0184FE8">
      <w:start w:val="1"/>
      <w:numFmt w:val="taiwaneseCountingThousand"/>
      <w:lvlText w:val="%1、"/>
      <w:lvlJc w:val="left"/>
      <w:pPr>
        <w:ind w:left="1615" w:hanging="480"/>
      </w:pPr>
      <w:rPr>
        <w:rFonts w:cs="Times New Roman" w:hint="eastAsia"/>
      </w:rPr>
    </w:lvl>
    <w:lvl w:ilvl="1" w:tplc="04090019">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33">
    <w:nsid w:val="5A414AB9"/>
    <w:multiLevelType w:val="hybridMultilevel"/>
    <w:tmpl w:val="FE8AA540"/>
    <w:lvl w:ilvl="0" w:tplc="2D86C76E">
      <w:start w:val="1"/>
      <w:numFmt w:val="taiwaneseCountingThousand"/>
      <w:lvlText w:val="%1、"/>
      <w:lvlJc w:val="left"/>
      <w:pPr>
        <w:ind w:left="1048" w:hanging="480"/>
      </w:pPr>
      <w:rPr>
        <w:rFonts w:cs="Times New Roman" w:hint="eastAsia"/>
        <w:b w:val="0"/>
        <w:color w:val="00000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34">
    <w:nsid w:val="5CE758AC"/>
    <w:multiLevelType w:val="hybridMultilevel"/>
    <w:tmpl w:val="4D0A09C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5">
    <w:nsid w:val="5E3E31CC"/>
    <w:multiLevelType w:val="hybridMultilevel"/>
    <w:tmpl w:val="7858347E"/>
    <w:lvl w:ilvl="0" w:tplc="4F04DF4E">
      <w:start w:val="1"/>
      <w:numFmt w:val="taiwaneseCountingThousand"/>
      <w:lvlText w:val="%1、"/>
      <w:lvlJc w:val="left"/>
      <w:pPr>
        <w:ind w:left="1028" w:hanging="720"/>
      </w:pPr>
      <w:rPr>
        <w:rFonts w:cs="Times New Roman" w:hint="default"/>
      </w:rPr>
    </w:lvl>
    <w:lvl w:ilvl="1" w:tplc="04090019" w:tentative="1">
      <w:start w:val="1"/>
      <w:numFmt w:val="ideographTraditional"/>
      <w:lvlText w:val="%2、"/>
      <w:lvlJc w:val="left"/>
      <w:pPr>
        <w:ind w:left="1268" w:hanging="480"/>
      </w:pPr>
      <w:rPr>
        <w:rFonts w:cs="Times New Roman"/>
      </w:rPr>
    </w:lvl>
    <w:lvl w:ilvl="2" w:tplc="0409001B" w:tentative="1">
      <w:start w:val="1"/>
      <w:numFmt w:val="lowerRoman"/>
      <w:lvlText w:val="%3."/>
      <w:lvlJc w:val="right"/>
      <w:pPr>
        <w:ind w:left="1748" w:hanging="480"/>
      </w:pPr>
      <w:rPr>
        <w:rFonts w:cs="Times New Roman"/>
      </w:rPr>
    </w:lvl>
    <w:lvl w:ilvl="3" w:tplc="0409000F" w:tentative="1">
      <w:start w:val="1"/>
      <w:numFmt w:val="decimal"/>
      <w:lvlText w:val="%4."/>
      <w:lvlJc w:val="left"/>
      <w:pPr>
        <w:ind w:left="2228" w:hanging="480"/>
      </w:pPr>
      <w:rPr>
        <w:rFonts w:cs="Times New Roman"/>
      </w:rPr>
    </w:lvl>
    <w:lvl w:ilvl="4" w:tplc="04090019" w:tentative="1">
      <w:start w:val="1"/>
      <w:numFmt w:val="ideographTraditional"/>
      <w:lvlText w:val="%5、"/>
      <w:lvlJc w:val="left"/>
      <w:pPr>
        <w:ind w:left="2708" w:hanging="480"/>
      </w:pPr>
      <w:rPr>
        <w:rFonts w:cs="Times New Roman"/>
      </w:rPr>
    </w:lvl>
    <w:lvl w:ilvl="5" w:tplc="0409001B" w:tentative="1">
      <w:start w:val="1"/>
      <w:numFmt w:val="lowerRoman"/>
      <w:lvlText w:val="%6."/>
      <w:lvlJc w:val="right"/>
      <w:pPr>
        <w:ind w:left="3188" w:hanging="480"/>
      </w:pPr>
      <w:rPr>
        <w:rFonts w:cs="Times New Roman"/>
      </w:rPr>
    </w:lvl>
    <w:lvl w:ilvl="6" w:tplc="0409000F" w:tentative="1">
      <w:start w:val="1"/>
      <w:numFmt w:val="decimal"/>
      <w:lvlText w:val="%7."/>
      <w:lvlJc w:val="left"/>
      <w:pPr>
        <w:ind w:left="3668" w:hanging="480"/>
      </w:pPr>
      <w:rPr>
        <w:rFonts w:cs="Times New Roman"/>
      </w:rPr>
    </w:lvl>
    <w:lvl w:ilvl="7" w:tplc="04090019" w:tentative="1">
      <w:start w:val="1"/>
      <w:numFmt w:val="ideographTraditional"/>
      <w:lvlText w:val="%8、"/>
      <w:lvlJc w:val="left"/>
      <w:pPr>
        <w:ind w:left="4148" w:hanging="480"/>
      </w:pPr>
      <w:rPr>
        <w:rFonts w:cs="Times New Roman"/>
      </w:rPr>
    </w:lvl>
    <w:lvl w:ilvl="8" w:tplc="0409001B" w:tentative="1">
      <w:start w:val="1"/>
      <w:numFmt w:val="lowerRoman"/>
      <w:lvlText w:val="%9."/>
      <w:lvlJc w:val="right"/>
      <w:pPr>
        <w:ind w:left="4628" w:hanging="480"/>
      </w:pPr>
      <w:rPr>
        <w:rFonts w:cs="Times New Roman"/>
      </w:rPr>
    </w:lvl>
  </w:abstractNum>
  <w:abstractNum w:abstractNumId="36">
    <w:nsid w:val="5FE941E0"/>
    <w:multiLevelType w:val="hybridMultilevel"/>
    <w:tmpl w:val="C450AABA"/>
    <w:lvl w:ilvl="0" w:tplc="F0184FE8">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7">
    <w:nsid w:val="62372BBD"/>
    <w:multiLevelType w:val="hybridMultilevel"/>
    <w:tmpl w:val="F6244AEC"/>
    <w:lvl w:ilvl="0" w:tplc="D7CAF22E">
      <w:start w:val="1"/>
      <w:numFmt w:val="taiwaneseCountingThousand"/>
      <w:lvlText w:val="%1、"/>
      <w:lvlJc w:val="left"/>
      <w:pPr>
        <w:ind w:left="1048" w:hanging="480"/>
      </w:pPr>
      <w:rPr>
        <w:rFonts w:cs="Times New Roman" w:hint="eastAsia"/>
        <w:b w:val="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38">
    <w:nsid w:val="63B13C73"/>
    <w:multiLevelType w:val="hybridMultilevel"/>
    <w:tmpl w:val="4D0A09C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9">
    <w:nsid w:val="674E66BF"/>
    <w:multiLevelType w:val="hybridMultilevel"/>
    <w:tmpl w:val="496641B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nsid w:val="71B4655F"/>
    <w:multiLevelType w:val="hybridMultilevel"/>
    <w:tmpl w:val="496641B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nsid w:val="73B54538"/>
    <w:multiLevelType w:val="hybridMultilevel"/>
    <w:tmpl w:val="170A464C"/>
    <w:lvl w:ilvl="0" w:tplc="58924B38">
      <w:start w:val="1"/>
      <w:numFmt w:val="taiwaneseCountingThousand"/>
      <w:lvlText w:val="%1、"/>
      <w:lvlJc w:val="left"/>
      <w:pPr>
        <w:ind w:left="450" w:hanging="45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2">
    <w:nsid w:val="73FC4903"/>
    <w:multiLevelType w:val="hybridMultilevel"/>
    <w:tmpl w:val="F6244AEC"/>
    <w:lvl w:ilvl="0" w:tplc="D7CAF22E">
      <w:start w:val="1"/>
      <w:numFmt w:val="taiwaneseCountingThousand"/>
      <w:lvlText w:val="%1、"/>
      <w:lvlJc w:val="left"/>
      <w:pPr>
        <w:ind w:left="1048" w:hanging="480"/>
      </w:pPr>
      <w:rPr>
        <w:rFonts w:cs="Times New Roman" w:hint="eastAsia"/>
        <w:b w:val="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43">
    <w:nsid w:val="770972F2"/>
    <w:multiLevelType w:val="hybridMultilevel"/>
    <w:tmpl w:val="496641BC"/>
    <w:lvl w:ilvl="0" w:tplc="F0184FE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nsid w:val="7721020D"/>
    <w:multiLevelType w:val="hybridMultilevel"/>
    <w:tmpl w:val="8D36D4AA"/>
    <w:lvl w:ilvl="0" w:tplc="FFC6039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nsid w:val="77461AFE"/>
    <w:multiLevelType w:val="hybridMultilevel"/>
    <w:tmpl w:val="8D36D4AA"/>
    <w:lvl w:ilvl="0" w:tplc="FFC60398">
      <w:start w:val="1"/>
      <w:numFmt w:val="taiwaneseCountingThousand"/>
      <w:lvlText w:val="%1、"/>
      <w:lvlJc w:val="left"/>
      <w:pPr>
        <w:ind w:left="480" w:hanging="480"/>
      </w:pPr>
      <w:rPr>
        <w:rFonts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nsid w:val="77640FC1"/>
    <w:multiLevelType w:val="hybridMultilevel"/>
    <w:tmpl w:val="FE8AA540"/>
    <w:lvl w:ilvl="0" w:tplc="2D86C76E">
      <w:start w:val="1"/>
      <w:numFmt w:val="taiwaneseCountingThousand"/>
      <w:lvlText w:val="%1、"/>
      <w:lvlJc w:val="left"/>
      <w:pPr>
        <w:ind w:left="1048" w:hanging="480"/>
      </w:pPr>
      <w:rPr>
        <w:rFonts w:cs="Times New Roman" w:hint="eastAsia"/>
        <w:b w:val="0"/>
        <w:color w:val="000000"/>
      </w:rPr>
    </w:lvl>
    <w:lvl w:ilvl="1" w:tplc="04090019" w:tentative="1">
      <w:start w:val="1"/>
      <w:numFmt w:val="ideographTraditional"/>
      <w:lvlText w:val="%2、"/>
      <w:lvlJc w:val="left"/>
      <w:pPr>
        <w:ind w:left="1528" w:hanging="480"/>
      </w:pPr>
      <w:rPr>
        <w:rFonts w:cs="Times New Roman"/>
      </w:rPr>
    </w:lvl>
    <w:lvl w:ilvl="2" w:tplc="0409001B" w:tentative="1">
      <w:start w:val="1"/>
      <w:numFmt w:val="lowerRoman"/>
      <w:lvlText w:val="%3."/>
      <w:lvlJc w:val="right"/>
      <w:pPr>
        <w:ind w:left="2008" w:hanging="480"/>
      </w:pPr>
      <w:rPr>
        <w:rFonts w:cs="Times New Roman"/>
      </w:rPr>
    </w:lvl>
    <w:lvl w:ilvl="3" w:tplc="0409000F" w:tentative="1">
      <w:start w:val="1"/>
      <w:numFmt w:val="decimal"/>
      <w:lvlText w:val="%4."/>
      <w:lvlJc w:val="left"/>
      <w:pPr>
        <w:ind w:left="2488" w:hanging="480"/>
      </w:pPr>
      <w:rPr>
        <w:rFonts w:cs="Times New Roman"/>
      </w:rPr>
    </w:lvl>
    <w:lvl w:ilvl="4" w:tplc="04090019" w:tentative="1">
      <w:start w:val="1"/>
      <w:numFmt w:val="ideographTraditional"/>
      <w:lvlText w:val="%5、"/>
      <w:lvlJc w:val="left"/>
      <w:pPr>
        <w:ind w:left="2968" w:hanging="480"/>
      </w:pPr>
      <w:rPr>
        <w:rFonts w:cs="Times New Roman"/>
      </w:rPr>
    </w:lvl>
    <w:lvl w:ilvl="5" w:tplc="0409001B" w:tentative="1">
      <w:start w:val="1"/>
      <w:numFmt w:val="lowerRoman"/>
      <w:lvlText w:val="%6."/>
      <w:lvlJc w:val="right"/>
      <w:pPr>
        <w:ind w:left="3448" w:hanging="480"/>
      </w:pPr>
      <w:rPr>
        <w:rFonts w:cs="Times New Roman"/>
      </w:rPr>
    </w:lvl>
    <w:lvl w:ilvl="6" w:tplc="0409000F" w:tentative="1">
      <w:start w:val="1"/>
      <w:numFmt w:val="decimal"/>
      <w:lvlText w:val="%7."/>
      <w:lvlJc w:val="left"/>
      <w:pPr>
        <w:ind w:left="3928" w:hanging="480"/>
      </w:pPr>
      <w:rPr>
        <w:rFonts w:cs="Times New Roman"/>
      </w:rPr>
    </w:lvl>
    <w:lvl w:ilvl="7" w:tplc="04090019" w:tentative="1">
      <w:start w:val="1"/>
      <w:numFmt w:val="ideographTraditional"/>
      <w:lvlText w:val="%8、"/>
      <w:lvlJc w:val="left"/>
      <w:pPr>
        <w:ind w:left="4408" w:hanging="480"/>
      </w:pPr>
      <w:rPr>
        <w:rFonts w:cs="Times New Roman"/>
      </w:rPr>
    </w:lvl>
    <w:lvl w:ilvl="8" w:tplc="0409001B" w:tentative="1">
      <w:start w:val="1"/>
      <w:numFmt w:val="lowerRoman"/>
      <w:lvlText w:val="%9."/>
      <w:lvlJc w:val="right"/>
      <w:pPr>
        <w:ind w:left="4888" w:hanging="480"/>
      </w:pPr>
      <w:rPr>
        <w:rFonts w:cs="Times New Roman"/>
      </w:rPr>
    </w:lvl>
  </w:abstractNum>
  <w:abstractNum w:abstractNumId="47">
    <w:nsid w:val="7BD7489F"/>
    <w:multiLevelType w:val="hybridMultilevel"/>
    <w:tmpl w:val="7B62FEE6"/>
    <w:lvl w:ilvl="0" w:tplc="CA8E4AD8">
      <w:start w:val="1"/>
      <w:numFmt w:val="taiwaneseCountingThousand"/>
      <w:lvlText w:val="(%1)"/>
      <w:lvlJc w:val="left"/>
      <w:pPr>
        <w:ind w:left="1614" w:hanging="480"/>
      </w:pPr>
      <w:rPr>
        <w:rFonts w:cs="Times New Roman" w:hint="eastAsia"/>
      </w:rPr>
    </w:lvl>
    <w:lvl w:ilvl="1" w:tplc="04090019" w:tentative="1">
      <w:start w:val="1"/>
      <w:numFmt w:val="ideographTraditional"/>
      <w:lvlText w:val="%2、"/>
      <w:lvlJc w:val="left"/>
      <w:pPr>
        <w:ind w:left="2094" w:hanging="480"/>
      </w:pPr>
      <w:rPr>
        <w:rFonts w:cs="Times New Roman"/>
      </w:rPr>
    </w:lvl>
    <w:lvl w:ilvl="2" w:tplc="0409001B" w:tentative="1">
      <w:start w:val="1"/>
      <w:numFmt w:val="lowerRoman"/>
      <w:lvlText w:val="%3."/>
      <w:lvlJc w:val="right"/>
      <w:pPr>
        <w:ind w:left="2574" w:hanging="480"/>
      </w:pPr>
      <w:rPr>
        <w:rFonts w:cs="Times New Roman"/>
      </w:rPr>
    </w:lvl>
    <w:lvl w:ilvl="3" w:tplc="0409000F" w:tentative="1">
      <w:start w:val="1"/>
      <w:numFmt w:val="decimal"/>
      <w:lvlText w:val="%4."/>
      <w:lvlJc w:val="left"/>
      <w:pPr>
        <w:ind w:left="3054" w:hanging="480"/>
      </w:pPr>
      <w:rPr>
        <w:rFonts w:cs="Times New Roman"/>
      </w:rPr>
    </w:lvl>
    <w:lvl w:ilvl="4" w:tplc="04090019" w:tentative="1">
      <w:start w:val="1"/>
      <w:numFmt w:val="ideographTraditional"/>
      <w:lvlText w:val="%5、"/>
      <w:lvlJc w:val="left"/>
      <w:pPr>
        <w:ind w:left="3534" w:hanging="480"/>
      </w:pPr>
      <w:rPr>
        <w:rFonts w:cs="Times New Roman"/>
      </w:rPr>
    </w:lvl>
    <w:lvl w:ilvl="5" w:tplc="0409001B" w:tentative="1">
      <w:start w:val="1"/>
      <w:numFmt w:val="lowerRoman"/>
      <w:lvlText w:val="%6."/>
      <w:lvlJc w:val="right"/>
      <w:pPr>
        <w:ind w:left="4014" w:hanging="480"/>
      </w:pPr>
      <w:rPr>
        <w:rFonts w:cs="Times New Roman"/>
      </w:rPr>
    </w:lvl>
    <w:lvl w:ilvl="6" w:tplc="0409000F" w:tentative="1">
      <w:start w:val="1"/>
      <w:numFmt w:val="decimal"/>
      <w:lvlText w:val="%7."/>
      <w:lvlJc w:val="left"/>
      <w:pPr>
        <w:ind w:left="4494" w:hanging="480"/>
      </w:pPr>
      <w:rPr>
        <w:rFonts w:cs="Times New Roman"/>
      </w:rPr>
    </w:lvl>
    <w:lvl w:ilvl="7" w:tplc="04090019" w:tentative="1">
      <w:start w:val="1"/>
      <w:numFmt w:val="ideographTraditional"/>
      <w:lvlText w:val="%8、"/>
      <w:lvlJc w:val="left"/>
      <w:pPr>
        <w:ind w:left="4974" w:hanging="480"/>
      </w:pPr>
      <w:rPr>
        <w:rFonts w:cs="Times New Roman"/>
      </w:rPr>
    </w:lvl>
    <w:lvl w:ilvl="8" w:tplc="0409001B" w:tentative="1">
      <w:start w:val="1"/>
      <w:numFmt w:val="lowerRoman"/>
      <w:lvlText w:val="%9."/>
      <w:lvlJc w:val="right"/>
      <w:pPr>
        <w:ind w:left="5454" w:hanging="480"/>
      </w:pPr>
      <w:rPr>
        <w:rFonts w:cs="Times New Roman"/>
      </w:rPr>
    </w:lvl>
  </w:abstractNum>
  <w:abstractNum w:abstractNumId="48">
    <w:nsid w:val="7D8B1E44"/>
    <w:multiLevelType w:val="hybridMultilevel"/>
    <w:tmpl w:val="DE30748E"/>
    <w:lvl w:ilvl="0" w:tplc="F258DADC">
      <w:start w:val="1"/>
      <w:numFmt w:val="taiwaneseCountingThousand"/>
      <w:lvlText w:val="%1、"/>
      <w:lvlJc w:val="left"/>
      <w:pPr>
        <w:ind w:left="1193" w:hanging="720"/>
      </w:pPr>
      <w:rPr>
        <w:rFonts w:cs="Times New Roman" w:hint="default"/>
      </w:rPr>
    </w:lvl>
    <w:lvl w:ilvl="1" w:tplc="04090019" w:tentative="1">
      <w:start w:val="1"/>
      <w:numFmt w:val="ideographTraditional"/>
      <w:lvlText w:val="%2、"/>
      <w:lvlJc w:val="left"/>
      <w:pPr>
        <w:ind w:left="1433" w:hanging="480"/>
      </w:pPr>
      <w:rPr>
        <w:rFonts w:cs="Times New Roman"/>
      </w:rPr>
    </w:lvl>
    <w:lvl w:ilvl="2" w:tplc="0409001B" w:tentative="1">
      <w:start w:val="1"/>
      <w:numFmt w:val="lowerRoman"/>
      <w:lvlText w:val="%3."/>
      <w:lvlJc w:val="right"/>
      <w:pPr>
        <w:ind w:left="1913" w:hanging="480"/>
      </w:pPr>
      <w:rPr>
        <w:rFonts w:cs="Times New Roman"/>
      </w:rPr>
    </w:lvl>
    <w:lvl w:ilvl="3" w:tplc="0409000F" w:tentative="1">
      <w:start w:val="1"/>
      <w:numFmt w:val="decimal"/>
      <w:lvlText w:val="%4."/>
      <w:lvlJc w:val="left"/>
      <w:pPr>
        <w:ind w:left="2393" w:hanging="480"/>
      </w:pPr>
      <w:rPr>
        <w:rFonts w:cs="Times New Roman"/>
      </w:rPr>
    </w:lvl>
    <w:lvl w:ilvl="4" w:tplc="04090019" w:tentative="1">
      <w:start w:val="1"/>
      <w:numFmt w:val="ideographTraditional"/>
      <w:lvlText w:val="%5、"/>
      <w:lvlJc w:val="left"/>
      <w:pPr>
        <w:ind w:left="2873" w:hanging="480"/>
      </w:pPr>
      <w:rPr>
        <w:rFonts w:cs="Times New Roman"/>
      </w:rPr>
    </w:lvl>
    <w:lvl w:ilvl="5" w:tplc="0409001B" w:tentative="1">
      <w:start w:val="1"/>
      <w:numFmt w:val="lowerRoman"/>
      <w:lvlText w:val="%6."/>
      <w:lvlJc w:val="right"/>
      <w:pPr>
        <w:ind w:left="3353" w:hanging="480"/>
      </w:pPr>
      <w:rPr>
        <w:rFonts w:cs="Times New Roman"/>
      </w:rPr>
    </w:lvl>
    <w:lvl w:ilvl="6" w:tplc="0409000F" w:tentative="1">
      <w:start w:val="1"/>
      <w:numFmt w:val="decimal"/>
      <w:lvlText w:val="%7."/>
      <w:lvlJc w:val="left"/>
      <w:pPr>
        <w:ind w:left="3833" w:hanging="480"/>
      </w:pPr>
      <w:rPr>
        <w:rFonts w:cs="Times New Roman"/>
      </w:rPr>
    </w:lvl>
    <w:lvl w:ilvl="7" w:tplc="04090019" w:tentative="1">
      <w:start w:val="1"/>
      <w:numFmt w:val="ideographTraditional"/>
      <w:lvlText w:val="%8、"/>
      <w:lvlJc w:val="left"/>
      <w:pPr>
        <w:ind w:left="4313" w:hanging="480"/>
      </w:pPr>
      <w:rPr>
        <w:rFonts w:cs="Times New Roman"/>
      </w:rPr>
    </w:lvl>
    <w:lvl w:ilvl="8" w:tplc="0409001B" w:tentative="1">
      <w:start w:val="1"/>
      <w:numFmt w:val="lowerRoman"/>
      <w:lvlText w:val="%9."/>
      <w:lvlJc w:val="right"/>
      <w:pPr>
        <w:ind w:left="4793" w:hanging="480"/>
      </w:pPr>
      <w:rPr>
        <w:rFonts w:cs="Times New Roman"/>
      </w:rPr>
    </w:lvl>
  </w:abstractNum>
  <w:num w:numId="1">
    <w:abstractNumId w:val="23"/>
  </w:num>
  <w:num w:numId="2">
    <w:abstractNumId w:val="14"/>
  </w:num>
  <w:num w:numId="3">
    <w:abstractNumId w:val="25"/>
  </w:num>
  <w:num w:numId="4">
    <w:abstractNumId w:val="47"/>
  </w:num>
  <w:num w:numId="5">
    <w:abstractNumId w:val="42"/>
  </w:num>
  <w:num w:numId="6">
    <w:abstractNumId w:val="10"/>
  </w:num>
  <w:num w:numId="7">
    <w:abstractNumId w:val="43"/>
  </w:num>
  <w:num w:numId="8">
    <w:abstractNumId w:val="3"/>
  </w:num>
  <w:num w:numId="9">
    <w:abstractNumId w:val="39"/>
  </w:num>
  <w:num w:numId="10">
    <w:abstractNumId w:val="6"/>
  </w:num>
  <w:num w:numId="11">
    <w:abstractNumId w:val="24"/>
  </w:num>
  <w:num w:numId="12">
    <w:abstractNumId w:val="40"/>
  </w:num>
  <w:num w:numId="13">
    <w:abstractNumId w:val="36"/>
  </w:num>
  <w:num w:numId="14">
    <w:abstractNumId w:val="4"/>
  </w:num>
  <w:num w:numId="15">
    <w:abstractNumId w:val="7"/>
  </w:num>
  <w:num w:numId="16">
    <w:abstractNumId w:val="45"/>
  </w:num>
  <w:num w:numId="17">
    <w:abstractNumId w:val="15"/>
  </w:num>
  <w:num w:numId="18">
    <w:abstractNumId w:val="21"/>
  </w:num>
  <w:num w:numId="19">
    <w:abstractNumId w:val="32"/>
  </w:num>
  <w:num w:numId="20">
    <w:abstractNumId w:val="27"/>
  </w:num>
  <w:num w:numId="21">
    <w:abstractNumId w:val="17"/>
  </w:num>
  <w:num w:numId="22">
    <w:abstractNumId w:val="13"/>
  </w:num>
  <w:num w:numId="23">
    <w:abstractNumId w:val="5"/>
  </w:num>
  <w:num w:numId="24">
    <w:abstractNumId w:val="46"/>
  </w:num>
  <w:num w:numId="25">
    <w:abstractNumId w:val="33"/>
  </w:num>
  <w:num w:numId="26">
    <w:abstractNumId w:val="11"/>
  </w:num>
  <w:num w:numId="27">
    <w:abstractNumId w:val="2"/>
  </w:num>
  <w:num w:numId="28">
    <w:abstractNumId w:val="0"/>
  </w:num>
  <w:num w:numId="29">
    <w:abstractNumId w:val="20"/>
  </w:num>
  <w:num w:numId="30">
    <w:abstractNumId w:val="30"/>
  </w:num>
  <w:num w:numId="31">
    <w:abstractNumId w:val="22"/>
  </w:num>
  <w:num w:numId="32">
    <w:abstractNumId w:val="37"/>
  </w:num>
  <w:num w:numId="33">
    <w:abstractNumId w:val="19"/>
  </w:num>
  <w:num w:numId="34">
    <w:abstractNumId w:val="44"/>
  </w:num>
  <w:num w:numId="35">
    <w:abstractNumId w:val="28"/>
  </w:num>
  <w:num w:numId="36">
    <w:abstractNumId w:val="8"/>
  </w:num>
  <w:num w:numId="37">
    <w:abstractNumId w:val="31"/>
  </w:num>
  <w:num w:numId="38">
    <w:abstractNumId w:val="1"/>
  </w:num>
  <w:num w:numId="39">
    <w:abstractNumId w:val="48"/>
  </w:num>
  <w:num w:numId="40">
    <w:abstractNumId w:val="29"/>
  </w:num>
  <w:num w:numId="41">
    <w:abstractNumId w:val="26"/>
  </w:num>
  <w:num w:numId="42">
    <w:abstractNumId w:val="35"/>
  </w:num>
  <w:num w:numId="43">
    <w:abstractNumId w:val="16"/>
  </w:num>
  <w:num w:numId="44">
    <w:abstractNumId w:val="34"/>
  </w:num>
  <w:num w:numId="45">
    <w:abstractNumId w:val="38"/>
  </w:num>
  <w:num w:numId="46">
    <w:abstractNumId w:val="12"/>
  </w:num>
  <w:num w:numId="47">
    <w:abstractNumId w:val="18"/>
  </w:num>
  <w:num w:numId="48">
    <w:abstractNumId w:val="41"/>
  </w:num>
  <w:num w:numId="49">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rawingGridHorizontalSpacing w:val="11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E9E"/>
    <w:rsid w:val="00000066"/>
    <w:rsid w:val="00004976"/>
    <w:rsid w:val="00014AFC"/>
    <w:rsid w:val="000160B6"/>
    <w:rsid w:val="00020DA5"/>
    <w:rsid w:val="00021100"/>
    <w:rsid w:val="00022209"/>
    <w:rsid w:val="000311D1"/>
    <w:rsid w:val="0003464C"/>
    <w:rsid w:val="00034BBF"/>
    <w:rsid w:val="00034F4B"/>
    <w:rsid w:val="0003664A"/>
    <w:rsid w:val="00042455"/>
    <w:rsid w:val="00042928"/>
    <w:rsid w:val="000439DB"/>
    <w:rsid w:val="00043CB3"/>
    <w:rsid w:val="00045054"/>
    <w:rsid w:val="000456EF"/>
    <w:rsid w:val="00045E03"/>
    <w:rsid w:val="0005045E"/>
    <w:rsid w:val="00050C42"/>
    <w:rsid w:val="00054EDF"/>
    <w:rsid w:val="000630EC"/>
    <w:rsid w:val="00065BC3"/>
    <w:rsid w:val="00066629"/>
    <w:rsid w:val="000726D6"/>
    <w:rsid w:val="00074827"/>
    <w:rsid w:val="000754B4"/>
    <w:rsid w:val="00076F57"/>
    <w:rsid w:val="000800F2"/>
    <w:rsid w:val="000830CE"/>
    <w:rsid w:val="00087E03"/>
    <w:rsid w:val="00092A97"/>
    <w:rsid w:val="000950EE"/>
    <w:rsid w:val="00097DCE"/>
    <w:rsid w:val="000A0C45"/>
    <w:rsid w:val="000A5934"/>
    <w:rsid w:val="000A7B5E"/>
    <w:rsid w:val="000B1167"/>
    <w:rsid w:val="000B7799"/>
    <w:rsid w:val="000B7F8C"/>
    <w:rsid w:val="000C414E"/>
    <w:rsid w:val="000C62B8"/>
    <w:rsid w:val="000D4A5C"/>
    <w:rsid w:val="000E00A8"/>
    <w:rsid w:val="000E033B"/>
    <w:rsid w:val="000E1EC7"/>
    <w:rsid w:val="000E1F4A"/>
    <w:rsid w:val="000E5AB8"/>
    <w:rsid w:val="000E636C"/>
    <w:rsid w:val="000E75C4"/>
    <w:rsid w:val="000E7FF5"/>
    <w:rsid w:val="000F0855"/>
    <w:rsid w:val="000F1552"/>
    <w:rsid w:val="000F2A2A"/>
    <w:rsid w:val="000F3E53"/>
    <w:rsid w:val="00100499"/>
    <w:rsid w:val="001005A5"/>
    <w:rsid w:val="00104D2F"/>
    <w:rsid w:val="0010584D"/>
    <w:rsid w:val="00111377"/>
    <w:rsid w:val="00114FED"/>
    <w:rsid w:val="00115B10"/>
    <w:rsid w:val="00116250"/>
    <w:rsid w:val="0012299E"/>
    <w:rsid w:val="00122CB4"/>
    <w:rsid w:val="00122CCA"/>
    <w:rsid w:val="00124AA2"/>
    <w:rsid w:val="00124C2E"/>
    <w:rsid w:val="00126641"/>
    <w:rsid w:val="00127E66"/>
    <w:rsid w:val="00133279"/>
    <w:rsid w:val="0013664C"/>
    <w:rsid w:val="00137556"/>
    <w:rsid w:val="00141024"/>
    <w:rsid w:val="00144276"/>
    <w:rsid w:val="00147174"/>
    <w:rsid w:val="00147388"/>
    <w:rsid w:val="00151A7C"/>
    <w:rsid w:val="001610C8"/>
    <w:rsid w:val="00161632"/>
    <w:rsid w:val="00164031"/>
    <w:rsid w:val="0016428D"/>
    <w:rsid w:val="001654B7"/>
    <w:rsid w:val="001654C2"/>
    <w:rsid w:val="00166B4E"/>
    <w:rsid w:val="00177C6F"/>
    <w:rsid w:val="001800C8"/>
    <w:rsid w:val="001807D2"/>
    <w:rsid w:val="00183593"/>
    <w:rsid w:val="001857A9"/>
    <w:rsid w:val="00187756"/>
    <w:rsid w:val="001A0A7B"/>
    <w:rsid w:val="001A0FDF"/>
    <w:rsid w:val="001A2FC0"/>
    <w:rsid w:val="001A3D32"/>
    <w:rsid w:val="001A5A9F"/>
    <w:rsid w:val="001A7D21"/>
    <w:rsid w:val="001B243B"/>
    <w:rsid w:val="001B2908"/>
    <w:rsid w:val="001B309F"/>
    <w:rsid w:val="001B41FD"/>
    <w:rsid w:val="001B5510"/>
    <w:rsid w:val="001B5F6C"/>
    <w:rsid w:val="001B7D9E"/>
    <w:rsid w:val="001C38E4"/>
    <w:rsid w:val="001C77E0"/>
    <w:rsid w:val="001D2F5E"/>
    <w:rsid w:val="001D548C"/>
    <w:rsid w:val="001D76B7"/>
    <w:rsid w:val="001E001D"/>
    <w:rsid w:val="001E08F8"/>
    <w:rsid w:val="001E2F10"/>
    <w:rsid w:val="001E5FAC"/>
    <w:rsid w:val="001F0EF1"/>
    <w:rsid w:val="001F2048"/>
    <w:rsid w:val="001F2D92"/>
    <w:rsid w:val="001F3DFF"/>
    <w:rsid w:val="001F6909"/>
    <w:rsid w:val="002001EE"/>
    <w:rsid w:val="00200F21"/>
    <w:rsid w:val="00204149"/>
    <w:rsid w:val="00204444"/>
    <w:rsid w:val="002056BA"/>
    <w:rsid w:val="00211820"/>
    <w:rsid w:val="00211A9F"/>
    <w:rsid w:val="00216B22"/>
    <w:rsid w:val="00216F43"/>
    <w:rsid w:val="00221FDD"/>
    <w:rsid w:val="0022498A"/>
    <w:rsid w:val="0022650E"/>
    <w:rsid w:val="002320B4"/>
    <w:rsid w:val="002326F2"/>
    <w:rsid w:val="00241257"/>
    <w:rsid w:val="00241B48"/>
    <w:rsid w:val="0024238F"/>
    <w:rsid w:val="00243AE6"/>
    <w:rsid w:val="002443D4"/>
    <w:rsid w:val="00244902"/>
    <w:rsid w:val="00246737"/>
    <w:rsid w:val="002479B8"/>
    <w:rsid w:val="00247A27"/>
    <w:rsid w:val="00250401"/>
    <w:rsid w:val="00250E05"/>
    <w:rsid w:val="002518DC"/>
    <w:rsid w:val="00252C2D"/>
    <w:rsid w:val="00252F8C"/>
    <w:rsid w:val="00261FE5"/>
    <w:rsid w:val="00264698"/>
    <w:rsid w:val="002747D9"/>
    <w:rsid w:val="002813C2"/>
    <w:rsid w:val="00281DE3"/>
    <w:rsid w:val="002833A8"/>
    <w:rsid w:val="00284638"/>
    <w:rsid w:val="00293B64"/>
    <w:rsid w:val="00297DAA"/>
    <w:rsid w:val="002A5700"/>
    <w:rsid w:val="002B0880"/>
    <w:rsid w:val="002B283A"/>
    <w:rsid w:val="002B39F0"/>
    <w:rsid w:val="002B51A5"/>
    <w:rsid w:val="002C1FC6"/>
    <w:rsid w:val="002C28AB"/>
    <w:rsid w:val="002C6BE5"/>
    <w:rsid w:val="002C6EFC"/>
    <w:rsid w:val="002D007C"/>
    <w:rsid w:val="002D4FB0"/>
    <w:rsid w:val="002D6AB1"/>
    <w:rsid w:val="002E13D1"/>
    <w:rsid w:val="002E1527"/>
    <w:rsid w:val="002E321A"/>
    <w:rsid w:val="002E3C64"/>
    <w:rsid w:val="002E4A75"/>
    <w:rsid w:val="002F01A6"/>
    <w:rsid w:val="002F1C21"/>
    <w:rsid w:val="002F7287"/>
    <w:rsid w:val="002F79C3"/>
    <w:rsid w:val="00301232"/>
    <w:rsid w:val="00302D04"/>
    <w:rsid w:val="00303F7D"/>
    <w:rsid w:val="00307380"/>
    <w:rsid w:val="00307E43"/>
    <w:rsid w:val="00312854"/>
    <w:rsid w:val="003142C3"/>
    <w:rsid w:val="00322F52"/>
    <w:rsid w:val="00324C2D"/>
    <w:rsid w:val="00325005"/>
    <w:rsid w:val="00330C16"/>
    <w:rsid w:val="003323B2"/>
    <w:rsid w:val="00332CAF"/>
    <w:rsid w:val="00336318"/>
    <w:rsid w:val="00336727"/>
    <w:rsid w:val="00342746"/>
    <w:rsid w:val="00362FF3"/>
    <w:rsid w:val="003665A7"/>
    <w:rsid w:val="00381413"/>
    <w:rsid w:val="00383BB9"/>
    <w:rsid w:val="00393247"/>
    <w:rsid w:val="003A0A78"/>
    <w:rsid w:val="003A4850"/>
    <w:rsid w:val="003A6DD9"/>
    <w:rsid w:val="003A78B2"/>
    <w:rsid w:val="003B2904"/>
    <w:rsid w:val="003B2ACD"/>
    <w:rsid w:val="003B2D8B"/>
    <w:rsid w:val="003C066B"/>
    <w:rsid w:val="003C3D3F"/>
    <w:rsid w:val="003C47E3"/>
    <w:rsid w:val="003C5793"/>
    <w:rsid w:val="003D4CE0"/>
    <w:rsid w:val="003E20F4"/>
    <w:rsid w:val="003E3854"/>
    <w:rsid w:val="003E4D94"/>
    <w:rsid w:val="003E570E"/>
    <w:rsid w:val="003E733E"/>
    <w:rsid w:val="003F1354"/>
    <w:rsid w:val="003F20BD"/>
    <w:rsid w:val="003F212E"/>
    <w:rsid w:val="003F2FF2"/>
    <w:rsid w:val="003F3295"/>
    <w:rsid w:val="003F377F"/>
    <w:rsid w:val="00400768"/>
    <w:rsid w:val="00400FA1"/>
    <w:rsid w:val="00404B4C"/>
    <w:rsid w:val="00405D94"/>
    <w:rsid w:val="00411348"/>
    <w:rsid w:val="00416AD0"/>
    <w:rsid w:val="0042067D"/>
    <w:rsid w:val="00424DFA"/>
    <w:rsid w:val="0042765C"/>
    <w:rsid w:val="00427C3F"/>
    <w:rsid w:val="004315ED"/>
    <w:rsid w:val="00435522"/>
    <w:rsid w:val="004370E7"/>
    <w:rsid w:val="00437F05"/>
    <w:rsid w:val="00445F9D"/>
    <w:rsid w:val="00451108"/>
    <w:rsid w:val="0045170F"/>
    <w:rsid w:val="0045259A"/>
    <w:rsid w:val="00461488"/>
    <w:rsid w:val="00480804"/>
    <w:rsid w:val="00480CF2"/>
    <w:rsid w:val="00481376"/>
    <w:rsid w:val="00481A1A"/>
    <w:rsid w:val="00481DCB"/>
    <w:rsid w:val="00483F00"/>
    <w:rsid w:val="00490142"/>
    <w:rsid w:val="00491124"/>
    <w:rsid w:val="004921AA"/>
    <w:rsid w:val="00492C1E"/>
    <w:rsid w:val="004935C1"/>
    <w:rsid w:val="00493A76"/>
    <w:rsid w:val="0049418A"/>
    <w:rsid w:val="004A4016"/>
    <w:rsid w:val="004A4304"/>
    <w:rsid w:val="004A44BE"/>
    <w:rsid w:val="004B0672"/>
    <w:rsid w:val="004B0CB8"/>
    <w:rsid w:val="004B2C29"/>
    <w:rsid w:val="004B3A51"/>
    <w:rsid w:val="004B51F4"/>
    <w:rsid w:val="004B5CDA"/>
    <w:rsid w:val="004C0D41"/>
    <w:rsid w:val="004C4FBE"/>
    <w:rsid w:val="004C5879"/>
    <w:rsid w:val="004C5C5B"/>
    <w:rsid w:val="004D1551"/>
    <w:rsid w:val="004D1F91"/>
    <w:rsid w:val="004D28A1"/>
    <w:rsid w:val="004D3B49"/>
    <w:rsid w:val="004D4889"/>
    <w:rsid w:val="004D5A55"/>
    <w:rsid w:val="004E3AAB"/>
    <w:rsid w:val="004E70B7"/>
    <w:rsid w:val="004F20EE"/>
    <w:rsid w:val="004F4C5E"/>
    <w:rsid w:val="004F5B39"/>
    <w:rsid w:val="004F7DE0"/>
    <w:rsid w:val="0050094B"/>
    <w:rsid w:val="00501FB9"/>
    <w:rsid w:val="005109B2"/>
    <w:rsid w:val="005142A4"/>
    <w:rsid w:val="00514FC1"/>
    <w:rsid w:val="0051536E"/>
    <w:rsid w:val="0051597D"/>
    <w:rsid w:val="00520679"/>
    <w:rsid w:val="005225E4"/>
    <w:rsid w:val="00525866"/>
    <w:rsid w:val="005300ED"/>
    <w:rsid w:val="00532A51"/>
    <w:rsid w:val="00535D85"/>
    <w:rsid w:val="00540B5E"/>
    <w:rsid w:val="00542AA7"/>
    <w:rsid w:val="00546B7E"/>
    <w:rsid w:val="00547518"/>
    <w:rsid w:val="00561C78"/>
    <w:rsid w:val="005636A3"/>
    <w:rsid w:val="00563BA2"/>
    <w:rsid w:val="00564BBB"/>
    <w:rsid w:val="00565475"/>
    <w:rsid w:val="005700B0"/>
    <w:rsid w:val="00571DF1"/>
    <w:rsid w:val="005758ED"/>
    <w:rsid w:val="00580825"/>
    <w:rsid w:val="005827F9"/>
    <w:rsid w:val="0058456F"/>
    <w:rsid w:val="005907FB"/>
    <w:rsid w:val="00594E0E"/>
    <w:rsid w:val="005A6E8E"/>
    <w:rsid w:val="005B427B"/>
    <w:rsid w:val="005B5BD9"/>
    <w:rsid w:val="005B74F8"/>
    <w:rsid w:val="005C0A37"/>
    <w:rsid w:val="005C0D35"/>
    <w:rsid w:val="005C1FD9"/>
    <w:rsid w:val="005C2237"/>
    <w:rsid w:val="005C27FF"/>
    <w:rsid w:val="005C310E"/>
    <w:rsid w:val="005C4D2F"/>
    <w:rsid w:val="005C5BB7"/>
    <w:rsid w:val="005C6B95"/>
    <w:rsid w:val="005C7E96"/>
    <w:rsid w:val="005D3622"/>
    <w:rsid w:val="005D605B"/>
    <w:rsid w:val="005D74DE"/>
    <w:rsid w:val="005D7DCF"/>
    <w:rsid w:val="005E2C37"/>
    <w:rsid w:val="005E7FD4"/>
    <w:rsid w:val="005F3245"/>
    <w:rsid w:val="005F3777"/>
    <w:rsid w:val="005F6D32"/>
    <w:rsid w:val="005F771F"/>
    <w:rsid w:val="00601D99"/>
    <w:rsid w:val="006031F8"/>
    <w:rsid w:val="006053C1"/>
    <w:rsid w:val="00610C2E"/>
    <w:rsid w:val="0061678D"/>
    <w:rsid w:val="00622E5D"/>
    <w:rsid w:val="00626C81"/>
    <w:rsid w:val="0063022E"/>
    <w:rsid w:val="00632652"/>
    <w:rsid w:val="00632729"/>
    <w:rsid w:val="00632EC1"/>
    <w:rsid w:val="00637A73"/>
    <w:rsid w:val="00641556"/>
    <w:rsid w:val="00641926"/>
    <w:rsid w:val="00654922"/>
    <w:rsid w:val="00660F25"/>
    <w:rsid w:val="00664E14"/>
    <w:rsid w:val="00673A21"/>
    <w:rsid w:val="00674987"/>
    <w:rsid w:val="00680C5B"/>
    <w:rsid w:val="00686D3C"/>
    <w:rsid w:val="00686E28"/>
    <w:rsid w:val="00687291"/>
    <w:rsid w:val="00693FD2"/>
    <w:rsid w:val="0069482B"/>
    <w:rsid w:val="006967CD"/>
    <w:rsid w:val="006A2808"/>
    <w:rsid w:val="006A6117"/>
    <w:rsid w:val="006A6164"/>
    <w:rsid w:val="006A7F43"/>
    <w:rsid w:val="006B0A9D"/>
    <w:rsid w:val="006B4C31"/>
    <w:rsid w:val="006B5D7E"/>
    <w:rsid w:val="006B7646"/>
    <w:rsid w:val="006C61C1"/>
    <w:rsid w:val="006C63E0"/>
    <w:rsid w:val="006C7000"/>
    <w:rsid w:val="006D3EC0"/>
    <w:rsid w:val="006D5588"/>
    <w:rsid w:val="006D6787"/>
    <w:rsid w:val="006D6E89"/>
    <w:rsid w:val="006E3A75"/>
    <w:rsid w:val="006F0266"/>
    <w:rsid w:val="006F2290"/>
    <w:rsid w:val="006F2880"/>
    <w:rsid w:val="007016C9"/>
    <w:rsid w:val="0070182E"/>
    <w:rsid w:val="007024E6"/>
    <w:rsid w:val="00703884"/>
    <w:rsid w:val="00704107"/>
    <w:rsid w:val="00706B56"/>
    <w:rsid w:val="00710594"/>
    <w:rsid w:val="00712EFD"/>
    <w:rsid w:val="0071351C"/>
    <w:rsid w:val="007139D4"/>
    <w:rsid w:val="0071417D"/>
    <w:rsid w:val="00714F93"/>
    <w:rsid w:val="007211E9"/>
    <w:rsid w:val="007239CE"/>
    <w:rsid w:val="0072521D"/>
    <w:rsid w:val="00727062"/>
    <w:rsid w:val="0073191D"/>
    <w:rsid w:val="00732E93"/>
    <w:rsid w:val="00733093"/>
    <w:rsid w:val="00733369"/>
    <w:rsid w:val="00733D73"/>
    <w:rsid w:val="00735C0B"/>
    <w:rsid w:val="00736BB6"/>
    <w:rsid w:val="00737D4A"/>
    <w:rsid w:val="00740E37"/>
    <w:rsid w:val="00741F9E"/>
    <w:rsid w:val="00744DC4"/>
    <w:rsid w:val="00746B29"/>
    <w:rsid w:val="00747B5E"/>
    <w:rsid w:val="007519A5"/>
    <w:rsid w:val="007527A8"/>
    <w:rsid w:val="00754D00"/>
    <w:rsid w:val="007551E7"/>
    <w:rsid w:val="0075587D"/>
    <w:rsid w:val="0075686E"/>
    <w:rsid w:val="0076164B"/>
    <w:rsid w:val="00763726"/>
    <w:rsid w:val="00772D51"/>
    <w:rsid w:val="00772DDC"/>
    <w:rsid w:val="0078115F"/>
    <w:rsid w:val="00782307"/>
    <w:rsid w:val="0078263C"/>
    <w:rsid w:val="00782CD3"/>
    <w:rsid w:val="00783448"/>
    <w:rsid w:val="00783785"/>
    <w:rsid w:val="007915D1"/>
    <w:rsid w:val="00792E40"/>
    <w:rsid w:val="00793FC7"/>
    <w:rsid w:val="007A7572"/>
    <w:rsid w:val="007B0180"/>
    <w:rsid w:val="007C2234"/>
    <w:rsid w:val="007C38D6"/>
    <w:rsid w:val="007C727F"/>
    <w:rsid w:val="007D03AB"/>
    <w:rsid w:val="007D086C"/>
    <w:rsid w:val="007D7E48"/>
    <w:rsid w:val="007E0AD4"/>
    <w:rsid w:val="007E12A6"/>
    <w:rsid w:val="007E227C"/>
    <w:rsid w:val="007F569E"/>
    <w:rsid w:val="0080184A"/>
    <w:rsid w:val="008040F5"/>
    <w:rsid w:val="00804348"/>
    <w:rsid w:val="008056F1"/>
    <w:rsid w:val="0081105A"/>
    <w:rsid w:val="0081437D"/>
    <w:rsid w:val="008144A0"/>
    <w:rsid w:val="008200FD"/>
    <w:rsid w:val="00826734"/>
    <w:rsid w:val="00826883"/>
    <w:rsid w:val="00826903"/>
    <w:rsid w:val="00832C73"/>
    <w:rsid w:val="00833184"/>
    <w:rsid w:val="008419AD"/>
    <w:rsid w:val="00843CD0"/>
    <w:rsid w:val="00845B00"/>
    <w:rsid w:val="00847F0F"/>
    <w:rsid w:val="00850208"/>
    <w:rsid w:val="00850CEF"/>
    <w:rsid w:val="00853FCA"/>
    <w:rsid w:val="0085554B"/>
    <w:rsid w:val="00863929"/>
    <w:rsid w:val="00865D29"/>
    <w:rsid w:val="00866DBE"/>
    <w:rsid w:val="008702CB"/>
    <w:rsid w:val="00870FE4"/>
    <w:rsid w:val="008735B7"/>
    <w:rsid w:val="00873A69"/>
    <w:rsid w:val="00873FDC"/>
    <w:rsid w:val="0087403B"/>
    <w:rsid w:val="00874413"/>
    <w:rsid w:val="00875D4C"/>
    <w:rsid w:val="00877554"/>
    <w:rsid w:val="00877F78"/>
    <w:rsid w:val="00880FDB"/>
    <w:rsid w:val="00882AD8"/>
    <w:rsid w:val="0088580D"/>
    <w:rsid w:val="00893A0C"/>
    <w:rsid w:val="008A0FF1"/>
    <w:rsid w:val="008A4251"/>
    <w:rsid w:val="008B0796"/>
    <w:rsid w:val="008B32EC"/>
    <w:rsid w:val="008B3E41"/>
    <w:rsid w:val="008B4408"/>
    <w:rsid w:val="008B78D9"/>
    <w:rsid w:val="008C231B"/>
    <w:rsid w:val="008C3E58"/>
    <w:rsid w:val="008C4177"/>
    <w:rsid w:val="008D1D13"/>
    <w:rsid w:val="008D416F"/>
    <w:rsid w:val="008D5747"/>
    <w:rsid w:val="008D6522"/>
    <w:rsid w:val="008D6AB8"/>
    <w:rsid w:val="008D78E4"/>
    <w:rsid w:val="008E45B1"/>
    <w:rsid w:val="008E66F5"/>
    <w:rsid w:val="008E6D54"/>
    <w:rsid w:val="008F1127"/>
    <w:rsid w:val="008F3FDA"/>
    <w:rsid w:val="008F5CD2"/>
    <w:rsid w:val="008F6F9D"/>
    <w:rsid w:val="008F7610"/>
    <w:rsid w:val="0090127B"/>
    <w:rsid w:val="00902BA3"/>
    <w:rsid w:val="00904896"/>
    <w:rsid w:val="009048F9"/>
    <w:rsid w:val="00906437"/>
    <w:rsid w:val="00907016"/>
    <w:rsid w:val="00907942"/>
    <w:rsid w:val="00911492"/>
    <w:rsid w:val="0091167F"/>
    <w:rsid w:val="00912AE0"/>
    <w:rsid w:val="00914215"/>
    <w:rsid w:val="0091734D"/>
    <w:rsid w:val="00917C8B"/>
    <w:rsid w:val="00917E13"/>
    <w:rsid w:val="00920027"/>
    <w:rsid w:val="0092229F"/>
    <w:rsid w:val="009223D4"/>
    <w:rsid w:val="00922D98"/>
    <w:rsid w:val="009237EA"/>
    <w:rsid w:val="00923AFE"/>
    <w:rsid w:val="0092408F"/>
    <w:rsid w:val="0092479A"/>
    <w:rsid w:val="0092543F"/>
    <w:rsid w:val="009258AB"/>
    <w:rsid w:val="00926B65"/>
    <w:rsid w:val="009321D2"/>
    <w:rsid w:val="00932652"/>
    <w:rsid w:val="00933132"/>
    <w:rsid w:val="00940F78"/>
    <w:rsid w:val="009410C0"/>
    <w:rsid w:val="00943433"/>
    <w:rsid w:val="00944C49"/>
    <w:rsid w:val="00945983"/>
    <w:rsid w:val="00953C2A"/>
    <w:rsid w:val="009570E0"/>
    <w:rsid w:val="00960FDF"/>
    <w:rsid w:val="009628D0"/>
    <w:rsid w:val="009642E3"/>
    <w:rsid w:val="00964B22"/>
    <w:rsid w:val="009672DA"/>
    <w:rsid w:val="0097213C"/>
    <w:rsid w:val="009722A3"/>
    <w:rsid w:val="009733D9"/>
    <w:rsid w:val="009759F1"/>
    <w:rsid w:val="009861F2"/>
    <w:rsid w:val="00986D87"/>
    <w:rsid w:val="00987664"/>
    <w:rsid w:val="0099128F"/>
    <w:rsid w:val="00991C6A"/>
    <w:rsid w:val="00991D73"/>
    <w:rsid w:val="00993DFC"/>
    <w:rsid w:val="0099424A"/>
    <w:rsid w:val="00995FD6"/>
    <w:rsid w:val="009A0F76"/>
    <w:rsid w:val="009A323A"/>
    <w:rsid w:val="009A4098"/>
    <w:rsid w:val="009A4B0B"/>
    <w:rsid w:val="009B1742"/>
    <w:rsid w:val="009B2177"/>
    <w:rsid w:val="009B2AA4"/>
    <w:rsid w:val="009B5E81"/>
    <w:rsid w:val="009B6802"/>
    <w:rsid w:val="009B6FFE"/>
    <w:rsid w:val="009C10BF"/>
    <w:rsid w:val="009C17CD"/>
    <w:rsid w:val="009C2ED0"/>
    <w:rsid w:val="009C4CAE"/>
    <w:rsid w:val="009C62E6"/>
    <w:rsid w:val="009C74AE"/>
    <w:rsid w:val="009C7DDF"/>
    <w:rsid w:val="009D2CA0"/>
    <w:rsid w:val="009D51D5"/>
    <w:rsid w:val="009D795B"/>
    <w:rsid w:val="009F488D"/>
    <w:rsid w:val="009F786A"/>
    <w:rsid w:val="00A030A7"/>
    <w:rsid w:val="00A03F97"/>
    <w:rsid w:val="00A05401"/>
    <w:rsid w:val="00A06372"/>
    <w:rsid w:val="00A12430"/>
    <w:rsid w:val="00A15377"/>
    <w:rsid w:val="00A170C7"/>
    <w:rsid w:val="00A2181C"/>
    <w:rsid w:val="00A22B4B"/>
    <w:rsid w:val="00A22CD2"/>
    <w:rsid w:val="00A2319F"/>
    <w:rsid w:val="00A2334E"/>
    <w:rsid w:val="00A26301"/>
    <w:rsid w:val="00A26A42"/>
    <w:rsid w:val="00A27198"/>
    <w:rsid w:val="00A271B1"/>
    <w:rsid w:val="00A311FA"/>
    <w:rsid w:val="00A333ED"/>
    <w:rsid w:val="00A51758"/>
    <w:rsid w:val="00A53F13"/>
    <w:rsid w:val="00A57212"/>
    <w:rsid w:val="00A660D7"/>
    <w:rsid w:val="00A66225"/>
    <w:rsid w:val="00A67BD9"/>
    <w:rsid w:val="00A7110B"/>
    <w:rsid w:val="00A72AD0"/>
    <w:rsid w:val="00A739D9"/>
    <w:rsid w:val="00A758DC"/>
    <w:rsid w:val="00A75F19"/>
    <w:rsid w:val="00A8234A"/>
    <w:rsid w:val="00A92847"/>
    <w:rsid w:val="00A9507C"/>
    <w:rsid w:val="00AA01C9"/>
    <w:rsid w:val="00AB26A4"/>
    <w:rsid w:val="00AB733B"/>
    <w:rsid w:val="00AC65EC"/>
    <w:rsid w:val="00AD058F"/>
    <w:rsid w:val="00AD1F54"/>
    <w:rsid w:val="00AE115B"/>
    <w:rsid w:val="00AE1350"/>
    <w:rsid w:val="00AE233E"/>
    <w:rsid w:val="00AE2EC4"/>
    <w:rsid w:val="00AE3C50"/>
    <w:rsid w:val="00AE63AB"/>
    <w:rsid w:val="00AE681B"/>
    <w:rsid w:val="00AF09D3"/>
    <w:rsid w:val="00AF1C79"/>
    <w:rsid w:val="00AF2F4E"/>
    <w:rsid w:val="00B00DEA"/>
    <w:rsid w:val="00B0171D"/>
    <w:rsid w:val="00B01F0A"/>
    <w:rsid w:val="00B02C75"/>
    <w:rsid w:val="00B04A8B"/>
    <w:rsid w:val="00B064F9"/>
    <w:rsid w:val="00B079C4"/>
    <w:rsid w:val="00B10872"/>
    <w:rsid w:val="00B14D01"/>
    <w:rsid w:val="00B158A3"/>
    <w:rsid w:val="00B17D68"/>
    <w:rsid w:val="00B17EEA"/>
    <w:rsid w:val="00B20CAD"/>
    <w:rsid w:val="00B21649"/>
    <w:rsid w:val="00B21AA8"/>
    <w:rsid w:val="00B2252B"/>
    <w:rsid w:val="00B24A1E"/>
    <w:rsid w:val="00B261A4"/>
    <w:rsid w:val="00B264C1"/>
    <w:rsid w:val="00B30A02"/>
    <w:rsid w:val="00B30D58"/>
    <w:rsid w:val="00B31913"/>
    <w:rsid w:val="00B3264E"/>
    <w:rsid w:val="00B32F75"/>
    <w:rsid w:val="00B358BA"/>
    <w:rsid w:val="00B36F12"/>
    <w:rsid w:val="00B37FD0"/>
    <w:rsid w:val="00B44534"/>
    <w:rsid w:val="00B45A96"/>
    <w:rsid w:val="00B50A0C"/>
    <w:rsid w:val="00B600A3"/>
    <w:rsid w:val="00B6028A"/>
    <w:rsid w:val="00B62372"/>
    <w:rsid w:val="00B63550"/>
    <w:rsid w:val="00B67BDB"/>
    <w:rsid w:val="00B80232"/>
    <w:rsid w:val="00B84FB6"/>
    <w:rsid w:val="00B8660D"/>
    <w:rsid w:val="00B91982"/>
    <w:rsid w:val="00B94733"/>
    <w:rsid w:val="00B9561C"/>
    <w:rsid w:val="00B97248"/>
    <w:rsid w:val="00B9781E"/>
    <w:rsid w:val="00B97B18"/>
    <w:rsid w:val="00BA39F0"/>
    <w:rsid w:val="00BA6128"/>
    <w:rsid w:val="00BB2781"/>
    <w:rsid w:val="00BB39C8"/>
    <w:rsid w:val="00BB5477"/>
    <w:rsid w:val="00BB6D4F"/>
    <w:rsid w:val="00BC101F"/>
    <w:rsid w:val="00BC2B7E"/>
    <w:rsid w:val="00BC3634"/>
    <w:rsid w:val="00BC685D"/>
    <w:rsid w:val="00BD0E24"/>
    <w:rsid w:val="00BD1CD1"/>
    <w:rsid w:val="00BD204E"/>
    <w:rsid w:val="00BD2B7F"/>
    <w:rsid w:val="00BD658A"/>
    <w:rsid w:val="00BD6FDD"/>
    <w:rsid w:val="00BD78E7"/>
    <w:rsid w:val="00BF11B3"/>
    <w:rsid w:val="00C01ECA"/>
    <w:rsid w:val="00C03E77"/>
    <w:rsid w:val="00C069A4"/>
    <w:rsid w:val="00C06F7E"/>
    <w:rsid w:val="00C07BAC"/>
    <w:rsid w:val="00C11537"/>
    <w:rsid w:val="00C137FA"/>
    <w:rsid w:val="00C14671"/>
    <w:rsid w:val="00C15F79"/>
    <w:rsid w:val="00C20030"/>
    <w:rsid w:val="00C23920"/>
    <w:rsid w:val="00C24945"/>
    <w:rsid w:val="00C30982"/>
    <w:rsid w:val="00C33569"/>
    <w:rsid w:val="00C34951"/>
    <w:rsid w:val="00C352E3"/>
    <w:rsid w:val="00C37356"/>
    <w:rsid w:val="00C377A2"/>
    <w:rsid w:val="00C40293"/>
    <w:rsid w:val="00C40CE2"/>
    <w:rsid w:val="00C44667"/>
    <w:rsid w:val="00C452FA"/>
    <w:rsid w:val="00C4599F"/>
    <w:rsid w:val="00C46129"/>
    <w:rsid w:val="00C46A58"/>
    <w:rsid w:val="00C46C6C"/>
    <w:rsid w:val="00C56EA0"/>
    <w:rsid w:val="00C60177"/>
    <w:rsid w:val="00C60958"/>
    <w:rsid w:val="00C62A8D"/>
    <w:rsid w:val="00C66027"/>
    <w:rsid w:val="00C73C88"/>
    <w:rsid w:val="00C75E4B"/>
    <w:rsid w:val="00C77ED6"/>
    <w:rsid w:val="00C81E93"/>
    <w:rsid w:val="00C83EB1"/>
    <w:rsid w:val="00C84F1F"/>
    <w:rsid w:val="00C85D8C"/>
    <w:rsid w:val="00C86124"/>
    <w:rsid w:val="00C87BCB"/>
    <w:rsid w:val="00C90C2F"/>
    <w:rsid w:val="00C90E9E"/>
    <w:rsid w:val="00C917C8"/>
    <w:rsid w:val="00C91F7B"/>
    <w:rsid w:val="00C927F4"/>
    <w:rsid w:val="00C92A92"/>
    <w:rsid w:val="00C93D81"/>
    <w:rsid w:val="00C94472"/>
    <w:rsid w:val="00C95FB5"/>
    <w:rsid w:val="00C96955"/>
    <w:rsid w:val="00C97669"/>
    <w:rsid w:val="00C97FB9"/>
    <w:rsid w:val="00CA3FC3"/>
    <w:rsid w:val="00CB0758"/>
    <w:rsid w:val="00CB07B2"/>
    <w:rsid w:val="00CB0B4A"/>
    <w:rsid w:val="00CD5626"/>
    <w:rsid w:val="00CD78B2"/>
    <w:rsid w:val="00CF018A"/>
    <w:rsid w:val="00CF5085"/>
    <w:rsid w:val="00CF55BC"/>
    <w:rsid w:val="00CF5EAA"/>
    <w:rsid w:val="00CF6901"/>
    <w:rsid w:val="00D000AF"/>
    <w:rsid w:val="00D00D7A"/>
    <w:rsid w:val="00D0550B"/>
    <w:rsid w:val="00D1530B"/>
    <w:rsid w:val="00D1564D"/>
    <w:rsid w:val="00D15B92"/>
    <w:rsid w:val="00D172E6"/>
    <w:rsid w:val="00D204F4"/>
    <w:rsid w:val="00D20DBC"/>
    <w:rsid w:val="00D22B9D"/>
    <w:rsid w:val="00D308AD"/>
    <w:rsid w:val="00D3147A"/>
    <w:rsid w:val="00D328DB"/>
    <w:rsid w:val="00D3465D"/>
    <w:rsid w:val="00D42E34"/>
    <w:rsid w:val="00D442CE"/>
    <w:rsid w:val="00D50091"/>
    <w:rsid w:val="00D50608"/>
    <w:rsid w:val="00D50708"/>
    <w:rsid w:val="00D51B57"/>
    <w:rsid w:val="00D52A9C"/>
    <w:rsid w:val="00D544AB"/>
    <w:rsid w:val="00D55C2F"/>
    <w:rsid w:val="00D56FFC"/>
    <w:rsid w:val="00D64993"/>
    <w:rsid w:val="00D66F2A"/>
    <w:rsid w:val="00D7428F"/>
    <w:rsid w:val="00D74E51"/>
    <w:rsid w:val="00D83E11"/>
    <w:rsid w:val="00D8582F"/>
    <w:rsid w:val="00D92801"/>
    <w:rsid w:val="00D941C9"/>
    <w:rsid w:val="00D95E04"/>
    <w:rsid w:val="00D96C51"/>
    <w:rsid w:val="00DA2C9A"/>
    <w:rsid w:val="00DA462B"/>
    <w:rsid w:val="00DA6649"/>
    <w:rsid w:val="00DA6BA8"/>
    <w:rsid w:val="00DB35DB"/>
    <w:rsid w:val="00DC2704"/>
    <w:rsid w:val="00DC3E4C"/>
    <w:rsid w:val="00DD0A76"/>
    <w:rsid w:val="00DD3FDD"/>
    <w:rsid w:val="00DE01AB"/>
    <w:rsid w:val="00DE4812"/>
    <w:rsid w:val="00DF033F"/>
    <w:rsid w:val="00DF405A"/>
    <w:rsid w:val="00DF4D8D"/>
    <w:rsid w:val="00DF619E"/>
    <w:rsid w:val="00E032AC"/>
    <w:rsid w:val="00E07E4C"/>
    <w:rsid w:val="00E10C0A"/>
    <w:rsid w:val="00E11390"/>
    <w:rsid w:val="00E11907"/>
    <w:rsid w:val="00E1464E"/>
    <w:rsid w:val="00E1773D"/>
    <w:rsid w:val="00E17B3C"/>
    <w:rsid w:val="00E2038C"/>
    <w:rsid w:val="00E21EA1"/>
    <w:rsid w:val="00E23D3A"/>
    <w:rsid w:val="00E33E95"/>
    <w:rsid w:val="00E346EC"/>
    <w:rsid w:val="00E3677C"/>
    <w:rsid w:val="00E37FEB"/>
    <w:rsid w:val="00E403BE"/>
    <w:rsid w:val="00E41A69"/>
    <w:rsid w:val="00E47CDC"/>
    <w:rsid w:val="00E51E5D"/>
    <w:rsid w:val="00E54544"/>
    <w:rsid w:val="00E548B2"/>
    <w:rsid w:val="00E55070"/>
    <w:rsid w:val="00E5528E"/>
    <w:rsid w:val="00E70DC6"/>
    <w:rsid w:val="00E731A7"/>
    <w:rsid w:val="00E74F08"/>
    <w:rsid w:val="00E8001C"/>
    <w:rsid w:val="00E903AE"/>
    <w:rsid w:val="00EA217F"/>
    <w:rsid w:val="00EA3296"/>
    <w:rsid w:val="00EB106B"/>
    <w:rsid w:val="00EB3AA9"/>
    <w:rsid w:val="00EB4513"/>
    <w:rsid w:val="00EB524D"/>
    <w:rsid w:val="00EB6136"/>
    <w:rsid w:val="00EC1ADF"/>
    <w:rsid w:val="00EC2178"/>
    <w:rsid w:val="00EC5F7B"/>
    <w:rsid w:val="00EC79F5"/>
    <w:rsid w:val="00ED061A"/>
    <w:rsid w:val="00ED1329"/>
    <w:rsid w:val="00ED3DA8"/>
    <w:rsid w:val="00ED4BD3"/>
    <w:rsid w:val="00EE18D1"/>
    <w:rsid w:val="00EE2D87"/>
    <w:rsid w:val="00EE2D8E"/>
    <w:rsid w:val="00EE3CD1"/>
    <w:rsid w:val="00EE56FC"/>
    <w:rsid w:val="00EE5B8B"/>
    <w:rsid w:val="00EE7E4F"/>
    <w:rsid w:val="00EF068F"/>
    <w:rsid w:val="00EF118D"/>
    <w:rsid w:val="00EF3891"/>
    <w:rsid w:val="00EF6DE8"/>
    <w:rsid w:val="00EF7EE2"/>
    <w:rsid w:val="00F00A5A"/>
    <w:rsid w:val="00F0170D"/>
    <w:rsid w:val="00F02032"/>
    <w:rsid w:val="00F024F0"/>
    <w:rsid w:val="00F02EB6"/>
    <w:rsid w:val="00F0520E"/>
    <w:rsid w:val="00F10D0B"/>
    <w:rsid w:val="00F14281"/>
    <w:rsid w:val="00F20C85"/>
    <w:rsid w:val="00F2137B"/>
    <w:rsid w:val="00F21C80"/>
    <w:rsid w:val="00F228BB"/>
    <w:rsid w:val="00F24E26"/>
    <w:rsid w:val="00F25D9C"/>
    <w:rsid w:val="00F30148"/>
    <w:rsid w:val="00F32A76"/>
    <w:rsid w:val="00F34552"/>
    <w:rsid w:val="00F34F77"/>
    <w:rsid w:val="00F55D78"/>
    <w:rsid w:val="00F60FD1"/>
    <w:rsid w:val="00F64DDA"/>
    <w:rsid w:val="00F654BB"/>
    <w:rsid w:val="00F66DDF"/>
    <w:rsid w:val="00F67175"/>
    <w:rsid w:val="00F72957"/>
    <w:rsid w:val="00F743DF"/>
    <w:rsid w:val="00F80EBD"/>
    <w:rsid w:val="00F80F16"/>
    <w:rsid w:val="00F82C0C"/>
    <w:rsid w:val="00F839AE"/>
    <w:rsid w:val="00F83ECC"/>
    <w:rsid w:val="00F864CD"/>
    <w:rsid w:val="00F868D8"/>
    <w:rsid w:val="00F92E91"/>
    <w:rsid w:val="00F936C0"/>
    <w:rsid w:val="00FA0AF6"/>
    <w:rsid w:val="00FA405A"/>
    <w:rsid w:val="00FB5895"/>
    <w:rsid w:val="00FB6416"/>
    <w:rsid w:val="00FC0B21"/>
    <w:rsid w:val="00FC13E0"/>
    <w:rsid w:val="00FC4258"/>
    <w:rsid w:val="00FC7349"/>
    <w:rsid w:val="00FD1A81"/>
    <w:rsid w:val="00FD1B13"/>
    <w:rsid w:val="00FD7458"/>
    <w:rsid w:val="00FE526C"/>
    <w:rsid w:val="00FE6507"/>
    <w:rsid w:val="00FE65AA"/>
    <w:rsid w:val="00FF2AE7"/>
    <w:rsid w:val="00FF3D63"/>
    <w:rsid w:val="00FF4334"/>
    <w:rsid w:val="00FF7510"/>
    <w:rsid w:val="00FF79FF"/>
    <w:rsid w:val="00FF7B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E9E"/>
    <w:pPr>
      <w:widowControl w:val="0"/>
      <w:spacing w:line="340" w:lineRule="exact"/>
      <w:jc w:val="both"/>
    </w:pPr>
    <w:rPr>
      <w:rFonts w:ascii="Times New Roman" w:hAnsi="Times New Roman"/>
      <w:sz w:val="22"/>
      <w:szCs w:val="24"/>
    </w:rPr>
  </w:style>
  <w:style w:type="paragraph" w:styleId="3">
    <w:name w:val="heading 3"/>
    <w:basedOn w:val="a"/>
    <w:link w:val="30"/>
    <w:uiPriority w:val="9"/>
    <w:qFormat/>
    <w:locked/>
    <w:rsid w:val="00481A1A"/>
    <w:pPr>
      <w:widowControl/>
      <w:spacing w:before="100" w:beforeAutospacing="1" w:after="100" w:afterAutospacing="1" w:line="240" w:lineRule="auto"/>
      <w:jc w:val="left"/>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C90E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細明體" w:eastAsia="細明體" w:hAnsi="細明體" w:cs="細明體"/>
      <w:kern w:val="0"/>
      <w:sz w:val="24"/>
    </w:rPr>
  </w:style>
  <w:style w:type="character" w:customStyle="1" w:styleId="HTML0">
    <w:name w:val="HTML 預設格式 字元"/>
    <w:basedOn w:val="a0"/>
    <w:link w:val="HTML"/>
    <w:uiPriority w:val="99"/>
    <w:locked/>
    <w:rsid w:val="00C90E9E"/>
    <w:rPr>
      <w:rFonts w:ascii="細明體" w:eastAsia="細明體" w:hAnsi="細明體"/>
      <w:kern w:val="0"/>
      <w:sz w:val="24"/>
    </w:rPr>
  </w:style>
  <w:style w:type="character" w:customStyle="1" w:styleId="st">
    <w:name w:val="st"/>
    <w:basedOn w:val="a0"/>
    <w:uiPriority w:val="99"/>
    <w:rsid w:val="00C90E9E"/>
    <w:rPr>
      <w:rFonts w:cs="Times New Roman"/>
    </w:rPr>
  </w:style>
  <w:style w:type="paragraph" w:styleId="a3">
    <w:name w:val="header"/>
    <w:basedOn w:val="a"/>
    <w:link w:val="a4"/>
    <w:uiPriority w:val="99"/>
    <w:rsid w:val="001B2908"/>
    <w:pPr>
      <w:tabs>
        <w:tab w:val="center" w:pos="4153"/>
        <w:tab w:val="right" w:pos="8306"/>
      </w:tabs>
      <w:snapToGrid w:val="0"/>
    </w:pPr>
    <w:rPr>
      <w:sz w:val="20"/>
      <w:szCs w:val="20"/>
    </w:rPr>
  </w:style>
  <w:style w:type="character" w:customStyle="1" w:styleId="a4">
    <w:name w:val="頁首 字元"/>
    <w:basedOn w:val="a0"/>
    <w:link w:val="a3"/>
    <w:uiPriority w:val="99"/>
    <w:locked/>
    <w:rsid w:val="001B2908"/>
    <w:rPr>
      <w:rFonts w:ascii="Times New Roman" w:eastAsia="新細明體" w:hAnsi="Times New Roman"/>
      <w:sz w:val="20"/>
    </w:rPr>
  </w:style>
  <w:style w:type="paragraph" w:styleId="a5">
    <w:name w:val="footer"/>
    <w:basedOn w:val="a"/>
    <w:link w:val="a6"/>
    <w:uiPriority w:val="99"/>
    <w:rsid w:val="001B2908"/>
    <w:pPr>
      <w:tabs>
        <w:tab w:val="center" w:pos="4153"/>
        <w:tab w:val="right" w:pos="8306"/>
      </w:tabs>
      <w:snapToGrid w:val="0"/>
    </w:pPr>
    <w:rPr>
      <w:sz w:val="20"/>
      <w:szCs w:val="20"/>
    </w:rPr>
  </w:style>
  <w:style w:type="character" w:customStyle="1" w:styleId="a6">
    <w:name w:val="頁尾 字元"/>
    <w:basedOn w:val="a0"/>
    <w:link w:val="a5"/>
    <w:uiPriority w:val="99"/>
    <w:locked/>
    <w:rsid w:val="001B2908"/>
    <w:rPr>
      <w:rFonts w:ascii="Times New Roman" w:eastAsia="新細明體" w:hAnsi="Times New Roman"/>
      <w:sz w:val="20"/>
    </w:rPr>
  </w:style>
  <w:style w:type="paragraph" w:styleId="a7">
    <w:name w:val="Balloon Text"/>
    <w:basedOn w:val="a"/>
    <w:link w:val="a8"/>
    <w:uiPriority w:val="99"/>
    <w:semiHidden/>
    <w:rsid w:val="007F569E"/>
    <w:pPr>
      <w:spacing w:line="240" w:lineRule="auto"/>
    </w:pPr>
    <w:rPr>
      <w:rFonts w:ascii="Cambria" w:hAnsi="Cambria"/>
      <w:sz w:val="18"/>
      <w:szCs w:val="18"/>
    </w:rPr>
  </w:style>
  <w:style w:type="character" w:customStyle="1" w:styleId="a8">
    <w:name w:val="註解方塊文字 字元"/>
    <w:basedOn w:val="a0"/>
    <w:link w:val="a7"/>
    <w:uiPriority w:val="99"/>
    <w:semiHidden/>
    <w:locked/>
    <w:rsid w:val="007F569E"/>
    <w:rPr>
      <w:rFonts w:ascii="Cambria" w:eastAsia="新細明體" w:hAnsi="Cambria"/>
      <w:sz w:val="18"/>
    </w:rPr>
  </w:style>
  <w:style w:type="character" w:customStyle="1" w:styleId="apple-converted-space">
    <w:name w:val="apple-converted-space"/>
    <w:basedOn w:val="a0"/>
    <w:uiPriority w:val="99"/>
    <w:rsid w:val="00C137FA"/>
    <w:rPr>
      <w:rFonts w:cs="Times New Roman"/>
    </w:rPr>
  </w:style>
  <w:style w:type="paragraph" w:styleId="a9">
    <w:name w:val="List Paragraph"/>
    <w:basedOn w:val="a"/>
    <w:uiPriority w:val="34"/>
    <w:qFormat/>
    <w:rsid w:val="00D42E34"/>
    <w:pPr>
      <w:ind w:leftChars="200" w:left="480"/>
    </w:pPr>
  </w:style>
  <w:style w:type="paragraph" w:styleId="aa">
    <w:name w:val="Revision"/>
    <w:hidden/>
    <w:uiPriority w:val="99"/>
    <w:semiHidden/>
    <w:rsid w:val="00B0171D"/>
    <w:rPr>
      <w:rFonts w:ascii="Times New Roman" w:hAnsi="Times New Roman"/>
      <w:sz w:val="22"/>
      <w:szCs w:val="24"/>
    </w:rPr>
  </w:style>
  <w:style w:type="character" w:styleId="ab">
    <w:name w:val="annotation reference"/>
    <w:basedOn w:val="a0"/>
    <w:uiPriority w:val="99"/>
    <w:semiHidden/>
    <w:rsid w:val="000B1167"/>
    <w:rPr>
      <w:rFonts w:cs="Times New Roman"/>
      <w:sz w:val="18"/>
    </w:rPr>
  </w:style>
  <w:style w:type="paragraph" w:styleId="ac">
    <w:name w:val="annotation text"/>
    <w:basedOn w:val="a"/>
    <w:link w:val="ad"/>
    <w:uiPriority w:val="99"/>
    <w:semiHidden/>
    <w:rsid w:val="000B1167"/>
    <w:pPr>
      <w:jc w:val="left"/>
    </w:pPr>
  </w:style>
  <w:style w:type="character" w:customStyle="1" w:styleId="ad">
    <w:name w:val="註解文字 字元"/>
    <w:basedOn w:val="a0"/>
    <w:link w:val="ac"/>
    <w:uiPriority w:val="99"/>
    <w:semiHidden/>
    <w:locked/>
    <w:rsid w:val="000B1167"/>
    <w:rPr>
      <w:rFonts w:ascii="Times New Roman" w:eastAsia="新細明體" w:hAnsi="Times New Roman"/>
      <w:sz w:val="24"/>
    </w:rPr>
  </w:style>
  <w:style w:type="paragraph" w:styleId="ae">
    <w:name w:val="annotation subject"/>
    <w:basedOn w:val="ac"/>
    <w:next w:val="ac"/>
    <w:link w:val="af"/>
    <w:uiPriority w:val="99"/>
    <w:semiHidden/>
    <w:rsid w:val="000B1167"/>
    <w:rPr>
      <w:b/>
      <w:bCs/>
    </w:rPr>
  </w:style>
  <w:style w:type="character" w:customStyle="1" w:styleId="af">
    <w:name w:val="註解主旨 字元"/>
    <w:basedOn w:val="ad"/>
    <w:link w:val="ae"/>
    <w:uiPriority w:val="99"/>
    <w:semiHidden/>
    <w:locked/>
    <w:rsid w:val="000B1167"/>
    <w:rPr>
      <w:rFonts w:ascii="Times New Roman" w:eastAsia="新細明體" w:hAnsi="Times New Roman"/>
      <w:b/>
      <w:sz w:val="24"/>
    </w:rPr>
  </w:style>
  <w:style w:type="character" w:styleId="af0">
    <w:name w:val="Strong"/>
    <w:basedOn w:val="a0"/>
    <w:uiPriority w:val="99"/>
    <w:qFormat/>
    <w:rsid w:val="00E55070"/>
    <w:rPr>
      <w:rFonts w:cs="Times New Roman"/>
      <w:b/>
    </w:rPr>
  </w:style>
  <w:style w:type="character" w:styleId="af1">
    <w:name w:val="Hyperlink"/>
    <w:basedOn w:val="a0"/>
    <w:uiPriority w:val="99"/>
    <w:semiHidden/>
    <w:rsid w:val="00C46A58"/>
    <w:rPr>
      <w:rFonts w:cs="Times New Roman"/>
      <w:color w:val="0000FF"/>
      <w:u w:val="single"/>
    </w:rPr>
  </w:style>
  <w:style w:type="paragraph" w:styleId="af2">
    <w:name w:val="footnote text"/>
    <w:basedOn w:val="a"/>
    <w:link w:val="af3"/>
    <w:uiPriority w:val="99"/>
    <w:semiHidden/>
    <w:rsid w:val="00DD0A76"/>
    <w:pPr>
      <w:snapToGrid w:val="0"/>
      <w:jc w:val="left"/>
    </w:pPr>
    <w:rPr>
      <w:sz w:val="20"/>
      <w:szCs w:val="20"/>
    </w:rPr>
  </w:style>
  <w:style w:type="character" w:customStyle="1" w:styleId="af3">
    <w:name w:val="註腳文字 字元"/>
    <w:basedOn w:val="a0"/>
    <w:link w:val="af2"/>
    <w:uiPriority w:val="99"/>
    <w:semiHidden/>
    <w:locked/>
    <w:rsid w:val="00DD0A76"/>
    <w:rPr>
      <w:rFonts w:ascii="Times New Roman" w:eastAsia="新細明體" w:hAnsi="Times New Roman"/>
      <w:sz w:val="20"/>
    </w:rPr>
  </w:style>
  <w:style w:type="character" w:styleId="af4">
    <w:name w:val="footnote reference"/>
    <w:basedOn w:val="a0"/>
    <w:uiPriority w:val="99"/>
    <w:semiHidden/>
    <w:rsid w:val="00DD0A76"/>
    <w:rPr>
      <w:rFonts w:cs="Times New Roman"/>
      <w:vertAlign w:val="superscript"/>
    </w:rPr>
  </w:style>
  <w:style w:type="character" w:styleId="af5">
    <w:name w:val="Emphasis"/>
    <w:basedOn w:val="a0"/>
    <w:uiPriority w:val="20"/>
    <w:qFormat/>
    <w:rsid w:val="00B50A0C"/>
    <w:rPr>
      <w:rFonts w:cs="Times New Roman"/>
      <w:color w:val="CC0033"/>
    </w:rPr>
  </w:style>
  <w:style w:type="paragraph" w:styleId="af6">
    <w:name w:val="Plain Text"/>
    <w:basedOn w:val="a"/>
    <w:link w:val="af7"/>
    <w:uiPriority w:val="99"/>
    <w:semiHidden/>
    <w:rsid w:val="00B30A02"/>
    <w:pPr>
      <w:spacing w:line="240" w:lineRule="auto"/>
      <w:jc w:val="left"/>
    </w:pPr>
    <w:rPr>
      <w:rFonts w:ascii="Calibri" w:hAnsi="Courier New" w:cs="Courier New"/>
      <w:sz w:val="24"/>
    </w:rPr>
  </w:style>
  <w:style w:type="character" w:customStyle="1" w:styleId="af7">
    <w:name w:val="純文字 字元"/>
    <w:basedOn w:val="a0"/>
    <w:link w:val="af6"/>
    <w:uiPriority w:val="99"/>
    <w:semiHidden/>
    <w:locked/>
    <w:rsid w:val="00B30A02"/>
    <w:rPr>
      <w:rFonts w:ascii="Calibri" w:eastAsia="新細明體" w:hAnsi="Courier New"/>
      <w:sz w:val="24"/>
    </w:rPr>
  </w:style>
  <w:style w:type="character" w:customStyle="1" w:styleId="30">
    <w:name w:val="標題 3 字元"/>
    <w:basedOn w:val="a0"/>
    <w:link w:val="3"/>
    <w:uiPriority w:val="9"/>
    <w:rsid w:val="00481A1A"/>
    <w:rPr>
      <w:rFonts w:ascii="新細明體" w:hAnsi="新細明體" w:cs="新細明體"/>
      <w:b/>
      <w:bCs/>
      <w:kern w:val="0"/>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E9E"/>
    <w:pPr>
      <w:widowControl w:val="0"/>
      <w:spacing w:line="340" w:lineRule="exact"/>
      <w:jc w:val="both"/>
    </w:pPr>
    <w:rPr>
      <w:rFonts w:ascii="Times New Roman" w:hAnsi="Times New Roman"/>
      <w:sz w:val="22"/>
      <w:szCs w:val="24"/>
    </w:rPr>
  </w:style>
  <w:style w:type="paragraph" w:styleId="3">
    <w:name w:val="heading 3"/>
    <w:basedOn w:val="a"/>
    <w:link w:val="30"/>
    <w:uiPriority w:val="9"/>
    <w:qFormat/>
    <w:locked/>
    <w:rsid w:val="00481A1A"/>
    <w:pPr>
      <w:widowControl/>
      <w:spacing w:before="100" w:beforeAutospacing="1" w:after="100" w:afterAutospacing="1" w:line="240" w:lineRule="auto"/>
      <w:jc w:val="left"/>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C90E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細明體" w:eastAsia="細明體" w:hAnsi="細明體" w:cs="細明體"/>
      <w:kern w:val="0"/>
      <w:sz w:val="24"/>
    </w:rPr>
  </w:style>
  <w:style w:type="character" w:customStyle="1" w:styleId="HTML0">
    <w:name w:val="HTML 預設格式 字元"/>
    <w:basedOn w:val="a0"/>
    <w:link w:val="HTML"/>
    <w:uiPriority w:val="99"/>
    <w:locked/>
    <w:rsid w:val="00C90E9E"/>
    <w:rPr>
      <w:rFonts w:ascii="細明體" w:eastAsia="細明體" w:hAnsi="細明體"/>
      <w:kern w:val="0"/>
      <w:sz w:val="24"/>
    </w:rPr>
  </w:style>
  <w:style w:type="character" w:customStyle="1" w:styleId="st">
    <w:name w:val="st"/>
    <w:basedOn w:val="a0"/>
    <w:uiPriority w:val="99"/>
    <w:rsid w:val="00C90E9E"/>
    <w:rPr>
      <w:rFonts w:cs="Times New Roman"/>
    </w:rPr>
  </w:style>
  <w:style w:type="paragraph" w:styleId="a3">
    <w:name w:val="header"/>
    <w:basedOn w:val="a"/>
    <w:link w:val="a4"/>
    <w:uiPriority w:val="99"/>
    <w:rsid w:val="001B2908"/>
    <w:pPr>
      <w:tabs>
        <w:tab w:val="center" w:pos="4153"/>
        <w:tab w:val="right" w:pos="8306"/>
      </w:tabs>
      <w:snapToGrid w:val="0"/>
    </w:pPr>
    <w:rPr>
      <w:sz w:val="20"/>
      <w:szCs w:val="20"/>
    </w:rPr>
  </w:style>
  <w:style w:type="character" w:customStyle="1" w:styleId="a4">
    <w:name w:val="頁首 字元"/>
    <w:basedOn w:val="a0"/>
    <w:link w:val="a3"/>
    <w:uiPriority w:val="99"/>
    <w:locked/>
    <w:rsid w:val="001B2908"/>
    <w:rPr>
      <w:rFonts w:ascii="Times New Roman" w:eastAsia="新細明體" w:hAnsi="Times New Roman"/>
      <w:sz w:val="20"/>
    </w:rPr>
  </w:style>
  <w:style w:type="paragraph" w:styleId="a5">
    <w:name w:val="footer"/>
    <w:basedOn w:val="a"/>
    <w:link w:val="a6"/>
    <w:uiPriority w:val="99"/>
    <w:rsid w:val="001B2908"/>
    <w:pPr>
      <w:tabs>
        <w:tab w:val="center" w:pos="4153"/>
        <w:tab w:val="right" w:pos="8306"/>
      </w:tabs>
      <w:snapToGrid w:val="0"/>
    </w:pPr>
    <w:rPr>
      <w:sz w:val="20"/>
      <w:szCs w:val="20"/>
    </w:rPr>
  </w:style>
  <w:style w:type="character" w:customStyle="1" w:styleId="a6">
    <w:name w:val="頁尾 字元"/>
    <w:basedOn w:val="a0"/>
    <w:link w:val="a5"/>
    <w:uiPriority w:val="99"/>
    <w:locked/>
    <w:rsid w:val="001B2908"/>
    <w:rPr>
      <w:rFonts w:ascii="Times New Roman" w:eastAsia="新細明體" w:hAnsi="Times New Roman"/>
      <w:sz w:val="20"/>
    </w:rPr>
  </w:style>
  <w:style w:type="paragraph" w:styleId="a7">
    <w:name w:val="Balloon Text"/>
    <w:basedOn w:val="a"/>
    <w:link w:val="a8"/>
    <w:uiPriority w:val="99"/>
    <w:semiHidden/>
    <w:rsid w:val="007F569E"/>
    <w:pPr>
      <w:spacing w:line="240" w:lineRule="auto"/>
    </w:pPr>
    <w:rPr>
      <w:rFonts w:ascii="Cambria" w:hAnsi="Cambria"/>
      <w:sz w:val="18"/>
      <w:szCs w:val="18"/>
    </w:rPr>
  </w:style>
  <w:style w:type="character" w:customStyle="1" w:styleId="a8">
    <w:name w:val="註解方塊文字 字元"/>
    <w:basedOn w:val="a0"/>
    <w:link w:val="a7"/>
    <w:uiPriority w:val="99"/>
    <w:semiHidden/>
    <w:locked/>
    <w:rsid w:val="007F569E"/>
    <w:rPr>
      <w:rFonts w:ascii="Cambria" w:eastAsia="新細明體" w:hAnsi="Cambria"/>
      <w:sz w:val="18"/>
    </w:rPr>
  </w:style>
  <w:style w:type="character" w:customStyle="1" w:styleId="apple-converted-space">
    <w:name w:val="apple-converted-space"/>
    <w:basedOn w:val="a0"/>
    <w:uiPriority w:val="99"/>
    <w:rsid w:val="00C137FA"/>
    <w:rPr>
      <w:rFonts w:cs="Times New Roman"/>
    </w:rPr>
  </w:style>
  <w:style w:type="paragraph" w:styleId="a9">
    <w:name w:val="List Paragraph"/>
    <w:basedOn w:val="a"/>
    <w:uiPriority w:val="34"/>
    <w:qFormat/>
    <w:rsid w:val="00D42E34"/>
    <w:pPr>
      <w:ind w:leftChars="200" w:left="480"/>
    </w:pPr>
  </w:style>
  <w:style w:type="paragraph" w:styleId="aa">
    <w:name w:val="Revision"/>
    <w:hidden/>
    <w:uiPriority w:val="99"/>
    <w:semiHidden/>
    <w:rsid w:val="00B0171D"/>
    <w:rPr>
      <w:rFonts w:ascii="Times New Roman" w:hAnsi="Times New Roman"/>
      <w:sz w:val="22"/>
      <w:szCs w:val="24"/>
    </w:rPr>
  </w:style>
  <w:style w:type="character" w:styleId="ab">
    <w:name w:val="annotation reference"/>
    <w:basedOn w:val="a0"/>
    <w:uiPriority w:val="99"/>
    <w:semiHidden/>
    <w:rsid w:val="000B1167"/>
    <w:rPr>
      <w:rFonts w:cs="Times New Roman"/>
      <w:sz w:val="18"/>
    </w:rPr>
  </w:style>
  <w:style w:type="paragraph" w:styleId="ac">
    <w:name w:val="annotation text"/>
    <w:basedOn w:val="a"/>
    <w:link w:val="ad"/>
    <w:uiPriority w:val="99"/>
    <w:semiHidden/>
    <w:rsid w:val="000B1167"/>
    <w:pPr>
      <w:jc w:val="left"/>
    </w:pPr>
  </w:style>
  <w:style w:type="character" w:customStyle="1" w:styleId="ad">
    <w:name w:val="註解文字 字元"/>
    <w:basedOn w:val="a0"/>
    <w:link w:val="ac"/>
    <w:uiPriority w:val="99"/>
    <w:semiHidden/>
    <w:locked/>
    <w:rsid w:val="000B1167"/>
    <w:rPr>
      <w:rFonts w:ascii="Times New Roman" w:eastAsia="新細明體" w:hAnsi="Times New Roman"/>
      <w:sz w:val="24"/>
    </w:rPr>
  </w:style>
  <w:style w:type="paragraph" w:styleId="ae">
    <w:name w:val="annotation subject"/>
    <w:basedOn w:val="ac"/>
    <w:next w:val="ac"/>
    <w:link w:val="af"/>
    <w:uiPriority w:val="99"/>
    <w:semiHidden/>
    <w:rsid w:val="000B1167"/>
    <w:rPr>
      <w:b/>
      <w:bCs/>
    </w:rPr>
  </w:style>
  <w:style w:type="character" w:customStyle="1" w:styleId="af">
    <w:name w:val="註解主旨 字元"/>
    <w:basedOn w:val="ad"/>
    <w:link w:val="ae"/>
    <w:uiPriority w:val="99"/>
    <w:semiHidden/>
    <w:locked/>
    <w:rsid w:val="000B1167"/>
    <w:rPr>
      <w:rFonts w:ascii="Times New Roman" w:eastAsia="新細明體" w:hAnsi="Times New Roman"/>
      <w:b/>
      <w:sz w:val="24"/>
    </w:rPr>
  </w:style>
  <w:style w:type="character" w:styleId="af0">
    <w:name w:val="Strong"/>
    <w:basedOn w:val="a0"/>
    <w:uiPriority w:val="99"/>
    <w:qFormat/>
    <w:rsid w:val="00E55070"/>
    <w:rPr>
      <w:rFonts w:cs="Times New Roman"/>
      <w:b/>
    </w:rPr>
  </w:style>
  <w:style w:type="character" w:styleId="af1">
    <w:name w:val="Hyperlink"/>
    <w:basedOn w:val="a0"/>
    <w:uiPriority w:val="99"/>
    <w:semiHidden/>
    <w:rsid w:val="00C46A58"/>
    <w:rPr>
      <w:rFonts w:cs="Times New Roman"/>
      <w:color w:val="0000FF"/>
      <w:u w:val="single"/>
    </w:rPr>
  </w:style>
  <w:style w:type="paragraph" w:styleId="af2">
    <w:name w:val="footnote text"/>
    <w:basedOn w:val="a"/>
    <w:link w:val="af3"/>
    <w:uiPriority w:val="99"/>
    <w:semiHidden/>
    <w:rsid w:val="00DD0A76"/>
    <w:pPr>
      <w:snapToGrid w:val="0"/>
      <w:jc w:val="left"/>
    </w:pPr>
    <w:rPr>
      <w:sz w:val="20"/>
      <w:szCs w:val="20"/>
    </w:rPr>
  </w:style>
  <w:style w:type="character" w:customStyle="1" w:styleId="af3">
    <w:name w:val="註腳文字 字元"/>
    <w:basedOn w:val="a0"/>
    <w:link w:val="af2"/>
    <w:uiPriority w:val="99"/>
    <w:semiHidden/>
    <w:locked/>
    <w:rsid w:val="00DD0A76"/>
    <w:rPr>
      <w:rFonts w:ascii="Times New Roman" w:eastAsia="新細明體" w:hAnsi="Times New Roman"/>
      <w:sz w:val="20"/>
    </w:rPr>
  </w:style>
  <w:style w:type="character" w:styleId="af4">
    <w:name w:val="footnote reference"/>
    <w:basedOn w:val="a0"/>
    <w:uiPriority w:val="99"/>
    <w:semiHidden/>
    <w:rsid w:val="00DD0A76"/>
    <w:rPr>
      <w:rFonts w:cs="Times New Roman"/>
      <w:vertAlign w:val="superscript"/>
    </w:rPr>
  </w:style>
  <w:style w:type="character" w:styleId="af5">
    <w:name w:val="Emphasis"/>
    <w:basedOn w:val="a0"/>
    <w:uiPriority w:val="20"/>
    <w:qFormat/>
    <w:rsid w:val="00B50A0C"/>
    <w:rPr>
      <w:rFonts w:cs="Times New Roman"/>
      <w:color w:val="CC0033"/>
    </w:rPr>
  </w:style>
  <w:style w:type="paragraph" w:styleId="af6">
    <w:name w:val="Plain Text"/>
    <w:basedOn w:val="a"/>
    <w:link w:val="af7"/>
    <w:uiPriority w:val="99"/>
    <w:semiHidden/>
    <w:rsid w:val="00B30A02"/>
    <w:pPr>
      <w:spacing w:line="240" w:lineRule="auto"/>
      <w:jc w:val="left"/>
    </w:pPr>
    <w:rPr>
      <w:rFonts w:ascii="Calibri" w:hAnsi="Courier New" w:cs="Courier New"/>
      <w:sz w:val="24"/>
    </w:rPr>
  </w:style>
  <w:style w:type="character" w:customStyle="1" w:styleId="af7">
    <w:name w:val="純文字 字元"/>
    <w:basedOn w:val="a0"/>
    <w:link w:val="af6"/>
    <w:uiPriority w:val="99"/>
    <w:semiHidden/>
    <w:locked/>
    <w:rsid w:val="00B30A02"/>
    <w:rPr>
      <w:rFonts w:ascii="Calibri" w:eastAsia="新細明體" w:hAnsi="Courier New"/>
      <w:sz w:val="24"/>
    </w:rPr>
  </w:style>
  <w:style w:type="character" w:customStyle="1" w:styleId="30">
    <w:name w:val="標題 3 字元"/>
    <w:basedOn w:val="a0"/>
    <w:link w:val="3"/>
    <w:uiPriority w:val="9"/>
    <w:rsid w:val="00481A1A"/>
    <w:rPr>
      <w:rFonts w:ascii="新細明體" w:hAnsi="新細明體" w:cs="新細明體"/>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4830182">
      <w:marLeft w:val="0"/>
      <w:marRight w:val="0"/>
      <w:marTop w:val="0"/>
      <w:marBottom w:val="0"/>
      <w:divBdr>
        <w:top w:val="none" w:sz="0" w:space="0" w:color="auto"/>
        <w:left w:val="none" w:sz="0" w:space="0" w:color="auto"/>
        <w:bottom w:val="none" w:sz="0" w:space="0" w:color="auto"/>
        <w:right w:val="none" w:sz="0" w:space="0" w:color="auto"/>
      </w:divBdr>
    </w:div>
    <w:div w:id="1864830186">
      <w:marLeft w:val="0"/>
      <w:marRight w:val="0"/>
      <w:marTop w:val="0"/>
      <w:marBottom w:val="0"/>
      <w:divBdr>
        <w:top w:val="none" w:sz="0" w:space="0" w:color="auto"/>
        <w:left w:val="none" w:sz="0" w:space="0" w:color="auto"/>
        <w:bottom w:val="none" w:sz="0" w:space="0" w:color="auto"/>
        <w:right w:val="none" w:sz="0" w:space="0" w:color="auto"/>
      </w:divBdr>
    </w:div>
    <w:div w:id="1864830189">
      <w:marLeft w:val="0"/>
      <w:marRight w:val="0"/>
      <w:marTop w:val="0"/>
      <w:marBottom w:val="0"/>
      <w:divBdr>
        <w:top w:val="none" w:sz="0" w:space="0" w:color="auto"/>
        <w:left w:val="none" w:sz="0" w:space="0" w:color="auto"/>
        <w:bottom w:val="none" w:sz="0" w:space="0" w:color="auto"/>
        <w:right w:val="none" w:sz="0" w:space="0" w:color="auto"/>
      </w:divBdr>
    </w:div>
    <w:div w:id="1864830194">
      <w:marLeft w:val="0"/>
      <w:marRight w:val="0"/>
      <w:marTop w:val="0"/>
      <w:marBottom w:val="0"/>
      <w:divBdr>
        <w:top w:val="none" w:sz="0" w:space="0" w:color="auto"/>
        <w:left w:val="none" w:sz="0" w:space="0" w:color="auto"/>
        <w:bottom w:val="none" w:sz="0" w:space="0" w:color="auto"/>
        <w:right w:val="none" w:sz="0" w:space="0" w:color="auto"/>
      </w:divBdr>
      <w:divsChild>
        <w:div w:id="1864830225">
          <w:marLeft w:val="0"/>
          <w:marRight w:val="0"/>
          <w:marTop w:val="0"/>
          <w:marBottom w:val="0"/>
          <w:divBdr>
            <w:top w:val="none" w:sz="0" w:space="0" w:color="auto"/>
            <w:left w:val="none" w:sz="0" w:space="0" w:color="auto"/>
            <w:bottom w:val="none" w:sz="0" w:space="0" w:color="auto"/>
            <w:right w:val="none" w:sz="0" w:space="0" w:color="auto"/>
          </w:divBdr>
          <w:divsChild>
            <w:div w:id="1864830205">
              <w:marLeft w:val="0"/>
              <w:marRight w:val="0"/>
              <w:marTop w:val="0"/>
              <w:marBottom w:val="0"/>
              <w:divBdr>
                <w:top w:val="none" w:sz="0" w:space="0" w:color="auto"/>
                <w:left w:val="none" w:sz="0" w:space="0" w:color="auto"/>
                <w:bottom w:val="none" w:sz="0" w:space="0" w:color="auto"/>
                <w:right w:val="none" w:sz="0" w:space="0" w:color="auto"/>
              </w:divBdr>
              <w:divsChild>
                <w:div w:id="1864830184">
                  <w:marLeft w:val="0"/>
                  <w:marRight w:val="0"/>
                  <w:marTop w:val="0"/>
                  <w:marBottom w:val="0"/>
                  <w:divBdr>
                    <w:top w:val="none" w:sz="0" w:space="0" w:color="auto"/>
                    <w:left w:val="none" w:sz="0" w:space="0" w:color="auto"/>
                    <w:bottom w:val="none" w:sz="0" w:space="0" w:color="auto"/>
                    <w:right w:val="none" w:sz="0" w:space="0" w:color="auto"/>
                  </w:divBdr>
                  <w:divsChild>
                    <w:div w:id="1864830198">
                      <w:marLeft w:val="0"/>
                      <w:marRight w:val="0"/>
                      <w:marTop w:val="0"/>
                      <w:marBottom w:val="0"/>
                      <w:divBdr>
                        <w:top w:val="none" w:sz="0" w:space="0" w:color="auto"/>
                        <w:left w:val="none" w:sz="0" w:space="0" w:color="auto"/>
                        <w:bottom w:val="none" w:sz="0" w:space="0" w:color="auto"/>
                        <w:right w:val="none" w:sz="0" w:space="0" w:color="auto"/>
                      </w:divBdr>
                      <w:divsChild>
                        <w:div w:id="1864830193">
                          <w:marLeft w:val="0"/>
                          <w:marRight w:val="0"/>
                          <w:marTop w:val="0"/>
                          <w:marBottom w:val="0"/>
                          <w:divBdr>
                            <w:top w:val="none" w:sz="0" w:space="0" w:color="auto"/>
                            <w:left w:val="none" w:sz="0" w:space="0" w:color="auto"/>
                            <w:bottom w:val="none" w:sz="0" w:space="0" w:color="auto"/>
                            <w:right w:val="none" w:sz="0" w:space="0" w:color="auto"/>
                          </w:divBdr>
                        </w:div>
                        <w:div w:id="1864830203">
                          <w:marLeft w:val="0"/>
                          <w:marRight w:val="0"/>
                          <w:marTop w:val="0"/>
                          <w:marBottom w:val="0"/>
                          <w:divBdr>
                            <w:top w:val="none" w:sz="0" w:space="0" w:color="auto"/>
                            <w:left w:val="none" w:sz="0" w:space="0" w:color="auto"/>
                            <w:bottom w:val="none" w:sz="0" w:space="0" w:color="auto"/>
                            <w:right w:val="none" w:sz="0" w:space="0" w:color="auto"/>
                          </w:divBdr>
                        </w:div>
                        <w:div w:id="1864830206">
                          <w:marLeft w:val="0"/>
                          <w:marRight w:val="0"/>
                          <w:marTop w:val="0"/>
                          <w:marBottom w:val="0"/>
                          <w:divBdr>
                            <w:top w:val="none" w:sz="0" w:space="0" w:color="auto"/>
                            <w:left w:val="none" w:sz="0" w:space="0" w:color="auto"/>
                            <w:bottom w:val="none" w:sz="0" w:space="0" w:color="auto"/>
                            <w:right w:val="none" w:sz="0" w:space="0" w:color="auto"/>
                          </w:divBdr>
                        </w:div>
                        <w:div w:id="1864830227">
                          <w:marLeft w:val="0"/>
                          <w:marRight w:val="0"/>
                          <w:marTop w:val="0"/>
                          <w:marBottom w:val="0"/>
                          <w:divBdr>
                            <w:top w:val="none" w:sz="0" w:space="0" w:color="auto"/>
                            <w:left w:val="none" w:sz="0" w:space="0" w:color="auto"/>
                            <w:bottom w:val="none" w:sz="0" w:space="0" w:color="auto"/>
                            <w:right w:val="none" w:sz="0" w:space="0" w:color="auto"/>
                          </w:divBdr>
                        </w:div>
                        <w:div w:id="186483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830195">
      <w:marLeft w:val="0"/>
      <w:marRight w:val="0"/>
      <w:marTop w:val="0"/>
      <w:marBottom w:val="0"/>
      <w:divBdr>
        <w:top w:val="none" w:sz="0" w:space="0" w:color="auto"/>
        <w:left w:val="none" w:sz="0" w:space="0" w:color="auto"/>
        <w:bottom w:val="none" w:sz="0" w:space="0" w:color="auto"/>
        <w:right w:val="none" w:sz="0" w:space="0" w:color="auto"/>
      </w:divBdr>
      <w:divsChild>
        <w:div w:id="1864830197">
          <w:marLeft w:val="0"/>
          <w:marRight w:val="0"/>
          <w:marTop w:val="0"/>
          <w:marBottom w:val="0"/>
          <w:divBdr>
            <w:top w:val="none" w:sz="0" w:space="0" w:color="auto"/>
            <w:left w:val="none" w:sz="0" w:space="0" w:color="auto"/>
            <w:bottom w:val="none" w:sz="0" w:space="0" w:color="auto"/>
            <w:right w:val="none" w:sz="0" w:space="0" w:color="auto"/>
          </w:divBdr>
          <w:divsChild>
            <w:div w:id="1864830233">
              <w:marLeft w:val="0"/>
              <w:marRight w:val="0"/>
              <w:marTop w:val="0"/>
              <w:marBottom w:val="0"/>
              <w:divBdr>
                <w:top w:val="none" w:sz="0" w:space="0" w:color="auto"/>
                <w:left w:val="none" w:sz="0" w:space="0" w:color="auto"/>
                <w:bottom w:val="none" w:sz="0" w:space="0" w:color="auto"/>
                <w:right w:val="none" w:sz="0" w:space="0" w:color="auto"/>
              </w:divBdr>
              <w:divsChild>
                <w:div w:id="1864830215">
                  <w:marLeft w:val="0"/>
                  <w:marRight w:val="0"/>
                  <w:marTop w:val="0"/>
                  <w:marBottom w:val="0"/>
                  <w:divBdr>
                    <w:top w:val="none" w:sz="0" w:space="0" w:color="auto"/>
                    <w:left w:val="none" w:sz="0" w:space="0" w:color="auto"/>
                    <w:bottom w:val="none" w:sz="0" w:space="0" w:color="auto"/>
                    <w:right w:val="none" w:sz="0" w:space="0" w:color="auto"/>
                  </w:divBdr>
                  <w:divsChild>
                    <w:div w:id="1864830220">
                      <w:marLeft w:val="0"/>
                      <w:marRight w:val="0"/>
                      <w:marTop w:val="0"/>
                      <w:marBottom w:val="0"/>
                      <w:divBdr>
                        <w:top w:val="none" w:sz="0" w:space="0" w:color="auto"/>
                        <w:left w:val="none" w:sz="0" w:space="0" w:color="auto"/>
                        <w:bottom w:val="none" w:sz="0" w:space="0" w:color="auto"/>
                        <w:right w:val="none" w:sz="0" w:space="0" w:color="auto"/>
                      </w:divBdr>
                      <w:divsChild>
                        <w:div w:id="186483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830196">
      <w:marLeft w:val="0"/>
      <w:marRight w:val="0"/>
      <w:marTop w:val="0"/>
      <w:marBottom w:val="0"/>
      <w:divBdr>
        <w:top w:val="none" w:sz="0" w:space="0" w:color="auto"/>
        <w:left w:val="none" w:sz="0" w:space="0" w:color="auto"/>
        <w:bottom w:val="none" w:sz="0" w:space="0" w:color="auto"/>
        <w:right w:val="none" w:sz="0" w:space="0" w:color="auto"/>
      </w:divBdr>
      <w:divsChild>
        <w:div w:id="1864830222">
          <w:marLeft w:val="0"/>
          <w:marRight w:val="0"/>
          <w:marTop w:val="0"/>
          <w:marBottom w:val="0"/>
          <w:divBdr>
            <w:top w:val="none" w:sz="0" w:space="0" w:color="auto"/>
            <w:left w:val="none" w:sz="0" w:space="0" w:color="auto"/>
            <w:bottom w:val="none" w:sz="0" w:space="0" w:color="auto"/>
            <w:right w:val="none" w:sz="0" w:space="0" w:color="auto"/>
          </w:divBdr>
        </w:div>
      </w:divsChild>
    </w:div>
    <w:div w:id="1864830199">
      <w:marLeft w:val="0"/>
      <w:marRight w:val="0"/>
      <w:marTop w:val="0"/>
      <w:marBottom w:val="0"/>
      <w:divBdr>
        <w:top w:val="none" w:sz="0" w:space="0" w:color="auto"/>
        <w:left w:val="none" w:sz="0" w:space="0" w:color="auto"/>
        <w:bottom w:val="none" w:sz="0" w:space="0" w:color="auto"/>
        <w:right w:val="none" w:sz="0" w:space="0" w:color="auto"/>
      </w:divBdr>
      <w:divsChild>
        <w:div w:id="1864830185">
          <w:marLeft w:val="0"/>
          <w:marRight w:val="0"/>
          <w:marTop w:val="0"/>
          <w:marBottom w:val="0"/>
          <w:divBdr>
            <w:top w:val="none" w:sz="0" w:space="0" w:color="auto"/>
            <w:left w:val="none" w:sz="0" w:space="0" w:color="auto"/>
            <w:bottom w:val="none" w:sz="0" w:space="0" w:color="auto"/>
            <w:right w:val="none" w:sz="0" w:space="0" w:color="auto"/>
          </w:divBdr>
        </w:div>
      </w:divsChild>
    </w:div>
    <w:div w:id="1864830200">
      <w:marLeft w:val="0"/>
      <w:marRight w:val="0"/>
      <w:marTop w:val="0"/>
      <w:marBottom w:val="0"/>
      <w:divBdr>
        <w:top w:val="none" w:sz="0" w:space="0" w:color="auto"/>
        <w:left w:val="none" w:sz="0" w:space="0" w:color="auto"/>
        <w:bottom w:val="none" w:sz="0" w:space="0" w:color="auto"/>
        <w:right w:val="none" w:sz="0" w:space="0" w:color="auto"/>
      </w:divBdr>
    </w:div>
    <w:div w:id="1864830201">
      <w:marLeft w:val="0"/>
      <w:marRight w:val="0"/>
      <w:marTop w:val="0"/>
      <w:marBottom w:val="0"/>
      <w:divBdr>
        <w:top w:val="none" w:sz="0" w:space="0" w:color="auto"/>
        <w:left w:val="none" w:sz="0" w:space="0" w:color="auto"/>
        <w:bottom w:val="none" w:sz="0" w:space="0" w:color="auto"/>
        <w:right w:val="none" w:sz="0" w:space="0" w:color="auto"/>
      </w:divBdr>
      <w:divsChild>
        <w:div w:id="1864830188">
          <w:marLeft w:val="0"/>
          <w:marRight w:val="0"/>
          <w:marTop w:val="0"/>
          <w:marBottom w:val="0"/>
          <w:divBdr>
            <w:top w:val="none" w:sz="0" w:space="0" w:color="auto"/>
            <w:left w:val="none" w:sz="0" w:space="0" w:color="auto"/>
            <w:bottom w:val="none" w:sz="0" w:space="0" w:color="auto"/>
            <w:right w:val="none" w:sz="0" w:space="0" w:color="auto"/>
          </w:divBdr>
          <w:divsChild>
            <w:div w:id="1864830224">
              <w:marLeft w:val="0"/>
              <w:marRight w:val="0"/>
              <w:marTop w:val="0"/>
              <w:marBottom w:val="0"/>
              <w:divBdr>
                <w:top w:val="none" w:sz="0" w:space="0" w:color="auto"/>
                <w:left w:val="none" w:sz="0" w:space="0" w:color="auto"/>
                <w:bottom w:val="none" w:sz="0" w:space="0" w:color="auto"/>
                <w:right w:val="none" w:sz="0" w:space="0" w:color="auto"/>
              </w:divBdr>
              <w:divsChild>
                <w:div w:id="1864830216">
                  <w:marLeft w:val="0"/>
                  <w:marRight w:val="0"/>
                  <w:marTop w:val="0"/>
                  <w:marBottom w:val="0"/>
                  <w:divBdr>
                    <w:top w:val="none" w:sz="0" w:space="0" w:color="auto"/>
                    <w:left w:val="none" w:sz="0" w:space="0" w:color="auto"/>
                    <w:bottom w:val="none" w:sz="0" w:space="0" w:color="auto"/>
                    <w:right w:val="none" w:sz="0" w:space="0" w:color="auto"/>
                  </w:divBdr>
                  <w:divsChild>
                    <w:div w:id="1864830218">
                      <w:marLeft w:val="0"/>
                      <w:marRight w:val="0"/>
                      <w:marTop w:val="0"/>
                      <w:marBottom w:val="0"/>
                      <w:divBdr>
                        <w:top w:val="none" w:sz="0" w:space="0" w:color="auto"/>
                        <w:left w:val="none" w:sz="0" w:space="0" w:color="auto"/>
                        <w:bottom w:val="none" w:sz="0" w:space="0" w:color="auto"/>
                        <w:right w:val="none" w:sz="0" w:space="0" w:color="auto"/>
                      </w:divBdr>
                      <w:divsChild>
                        <w:div w:id="186483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830202">
      <w:marLeft w:val="0"/>
      <w:marRight w:val="0"/>
      <w:marTop w:val="0"/>
      <w:marBottom w:val="0"/>
      <w:divBdr>
        <w:top w:val="none" w:sz="0" w:space="0" w:color="auto"/>
        <w:left w:val="none" w:sz="0" w:space="0" w:color="auto"/>
        <w:bottom w:val="none" w:sz="0" w:space="0" w:color="auto"/>
        <w:right w:val="none" w:sz="0" w:space="0" w:color="auto"/>
      </w:divBdr>
      <w:divsChild>
        <w:div w:id="1864830204">
          <w:marLeft w:val="0"/>
          <w:marRight w:val="0"/>
          <w:marTop w:val="0"/>
          <w:marBottom w:val="0"/>
          <w:divBdr>
            <w:top w:val="none" w:sz="0" w:space="0" w:color="auto"/>
            <w:left w:val="none" w:sz="0" w:space="0" w:color="auto"/>
            <w:bottom w:val="none" w:sz="0" w:space="0" w:color="auto"/>
            <w:right w:val="none" w:sz="0" w:space="0" w:color="auto"/>
          </w:divBdr>
        </w:div>
      </w:divsChild>
    </w:div>
    <w:div w:id="1864830207">
      <w:marLeft w:val="0"/>
      <w:marRight w:val="0"/>
      <w:marTop w:val="0"/>
      <w:marBottom w:val="0"/>
      <w:divBdr>
        <w:top w:val="none" w:sz="0" w:space="0" w:color="auto"/>
        <w:left w:val="none" w:sz="0" w:space="0" w:color="auto"/>
        <w:bottom w:val="none" w:sz="0" w:space="0" w:color="auto"/>
        <w:right w:val="none" w:sz="0" w:space="0" w:color="auto"/>
      </w:divBdr>
      <w:divsChild>
        <w:div w:id="1864830217">
          <w:marLeft w:val="0"/>
          <w:marRight w:val="0"/>
          <w:marTop w:val="0"/>
          <w:marBottom w:val="0"/>
          <w:divBdr>
            <w:top w:val="none" w:sz="0" w:space="0" w:color="auto"/>
            <w:left w:val="none" w:sz="0" w:space="0" w:color="auto"/>
            <w:bottom w:val="none" w:sz="0" w:space="0" w:color="auto"/>
            <w:right w:val="none" w:sz="0" w:space="0" w:color="auto"/>
          </w:divBdr>
          <w:divsChild>
            <w:div w:id="1864830183">
              <w:marLeft w:val="0"/>
              <w:marRight w:val="0"/>
              <w:marTop w:val="0"/>
              <w:marBottom w:val="0"/>
              <w:divBdr>
                <w:top w:val="none" w:sz="0" w:space="0" w:color="auto"/>
                <w:left w:val="none" w:sz="0" w:space="0" w:color="auto"/>
                <w:bottom w:val="none" w:sz="0" w:space="0" w:color="auto"/>
                <w:right w:val="none" w:sz="0" w:space="0" w:color="auto"/>
              </w:divBdr>
              <w:divsChild>
                <w:div w:id="1864830236">
                  <w:marLeft w:val="0"/>
                  <w:marRight w:val="0"/>
                  <w:marTop w:val="0"/>
                  <w:marBottom w:val="0"/>
                  <w:divBdr>
                    <w:top w:val="none" w:sz="0" w:space="0" w:color="auto"/>
                    <w:left w:val="none" w:sz="0" w:space="0" w:color="auto"/>
                    <w:bottom w:val="none" w:sz="0" w:space="0" w:color="auto"/>
                    <w:right w:val="none" w:sz="0" w:space="0" w:color="auto"/>
                  </w:divBdr>
                  <w:divsChild>
                    <w:div w:id="1864830223">
                      <w:marLeft w:val="0"/>
                      <w:marRight w:val="0"/>
                      <w:marTop w:val="0"/>
                      <w:marBottom w:val="0"/>
                      <w:divBdr>
                        <w:top w:val="none" w:sz="0" w:space="0" w:color="auto"/>
                        <w:left w:val="none" w:sz="0" w:space="0" w:color="auto"/>
                        <w:bottom w:val="none" w:sz="0" w:space="0" w:color="auto"/>
                        <w:right w:val="none" w:sz="0" w:space="0" w:color="auto"/>
                      </w:divBdr>
                      <w:divsChild>
                        <w:div w:id="186483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830209">
      <w:marLeft w:val="0"/>
      <w:marRight w:val="0"/>
      <w:marTop w:val="0"/>
      <w:marBottom w:val="0"/>
      <w:divBdr>
        <w:top w:val="none" w:sz="0" w:space="0" w:color="auto"/>
        <w:left w:val="none" w:sz="0" w:space="0" w:color="auto"/>
        <w:bottom w:val="none" w:sz="0" w:space="0" w:color="auto"/>
        <w:right w:val="none" w:sz="0" w:space="0" w:color="auto"/>
      </w:divBdr>
    </w:div>
    <w:div w:id="1864830210">
      <w:marLeft w:val="0"/>
      <w:marRight w:val="0"/>
      <w:marTop w:val="0"/>
      <w:marBottom w:val="0"/>
      <w:divBdr>
        <w:top w:val="none" w:sz="0" w:space="0" w:color="auto"/>
        <w:left w:val="none" w:sz="0" w:space="0" w:color="auto"/>
        <w:bottom w:val="none" w:sz="0" w:space="0" w:color="auto"/>
        <w:right w:val="none" w:sz="0" w:space="0" w:color="auto"/>
      </w:divBdr>
    </w:div>
    <w:div w:id="1864830229">
      <w:marLeft w:val="0"/>
      <w:marRight w:val="0"/>
      <w:marTop w:val="0"/>
      <w:marBottom w:val="0"/>
      <w:divBdr>
        <w:top w:val="none" w:sz="0" w:space="0" w:color="auto"/>
        <w:left w:val="none" w:sz="0" w:space="0" w:color="auto"/>
        <w:bottom w:val="none" w:sz="0" w:space="0" w:color="auto"/>
        <w:right w:val="none" w:sz="0" w:space="0" w:color="auto"/>
      </w:divBdr>
      <w:divsChild>
        <w:div w:id="1864830211">
          <w:marLeft w:val="0"/>
          <w:marRight w:val="0"/>
          <w:marTop w:val="0"/>
          <w:marBottom w:val="0"/>
          <w:divBdr>
            <w:top w:val="none" w:sz="0" w:space="0" w:color="auto"/>
            <w:left w:val="none" w:sz="0" w:space="0" w:color="auto"/>
            <w:bottom w:val="none" w:sz="0" w:space="0" w:color="auto"/>
            <w:right w:val="none" w:sz="0" w:space="0" w:color="auto"/>
          </w:divBdr>
          <w:divsChild>
            <w:div w:id="1864830219">
              <w:marLeft w:val="0"/>
              <w:marRight w:val="0"/>
              <w:marTop w:val="0"/>
              <w:marBottom w:val="0"/>
              <w:divBdr>
                <w:top w:val="none" w:sz="0" w:space="0" w:color="auto"/>
                <w:left w:val="none" w:sz="0" w:space="0" w:color="auto"/>
                <w:bottom w:val="none" w:sz="0" w:space="0" w:color="auto"/>
                <w:right w:val="none" w:sz="0" w:space="0" w:color="auto"/>
              </w:divBdr>
              <w:divsChild>
                <w:div w:id="1864830208">
                  <w:marLeft w:val="0"/>
                  <w:marRight w:val="0"/>
                  <w:marTop w:val="0"/>
                  <w:marBottom w:val="0"/>
                  <w:divBdr>
                    <w:top w:val="none" w:sz="0" w:space="0" w:color="auto"/>
                    <w:left w:val="none" w:sz="0" w:space="0" w:color="auto"/>
                    <w:bottom w:val="none" w:sz="0" w:space="0" w:color="auto"/>
                    <w:right w:val="none" w:sz="0" w:space="0" w:color="auto"/>
                  </w:divBdr>
                  <w:divsChild>
                    <w:div w:id="1864830212">
                      <w:marLeft w:val="0"/>
                      <w:marRight w:val="0"/>
                      <w:marTop w:val="0"/>
                      <w:marBottom w:val="0"/>
                      <w:divBdr>
                        <w:top w:val="none" w:sz="0" w:space="0" w:color="auto"/>
                        <w:left w:val="none" w:sz="0" w:space="0" w:color="auto"/>
                        <w:bottom w:val="none" w:sz="0" w:space="0" w:color="auto"/>
                        <w:right w:val="none" w:sz="0" w:space="0" w:color="auto"/>
                      </w:divBdr>
                      <w:divsChild>
                        <w:div w:id="1864830187">
                          <w:marLeft w:val="0"/>
                          <w:marRight w:val="0"/>
                          <w:marTop w:val="0"/>
                          <w:marBottom w:val="0"/>
                          <w:divBdr>
                            <w:top w:val="none" w:sz="0" w:space="0" w:color="auto"/>
                            <w:left w:val="none" w:sz="0" w:space="0" w:color="auto"/>
                            <w:bottom w:val="none" w:sz="0" w:space="0" w:color="auto"/>
                            <w:right w:val="none" w:sz="0" w:space="0" w:color="auto"/>
                          </w:divBdr>
                        </w:div>
                        <w:div w:id="1864830190">
                          <w:marLeft w:val="0"/>
                          <w:marRight w:val="0"/>
                          <w:marTop w:val="0"/>
                          <w:marBottom w:val="0"/>
                          <w:divBdr>
                            <w:top w:val="none" w:sz="0" w:space="0" w:color="auto"/>
                            <w:left w:val="none" w:sz="0" w:space="0" w:color="auto"/>
                            <w:bottom w:val="none" w:sz="0" w:space="0" w:color="auto"/>
                            <w:right w:val="none" w:sz="0" w:space="0" w:color="auto"/>
                          </w:divBdr>
                        </w:div>
                        <w:div w:id="1864830191">
                          <w:marLeft w:val="0"/>
                          <w:marRight w:val="0"/>
                          <w:marTop w:val="0"/>
                          <w:marBottom w:val="0"/>
                          <w:divBdr>
                            <w:top w:val="none" w:sz="0" w:space="0" w:color="auto"/>
                            <w:left w:val="none" w:sz="0" w:space="0" w:color="auto"/>
                            <w:bottom w:val="none" w:sz="0" w:space="0" w:color="auto"/>
                            <w:right w:val="none" w:sz="0" w:space="0" w:color="auto"/>
                          </w:divBdr>
                        </w:div>
                        <w:div w:id="1864830192">
                          <w:marLeft w:val="0"/>
                          <w:marRight w:val="0"/>
                          <w:marTop w:val="0"/>
                          <w:marBottom w:val="0"/>
                          <w:divBdr>
                            <w:top w:val="none" w:sz="0" w:space="0" w:color="auto"/>
                            <w:left w:val="none" w:sz="0" w:space="0" w:color="auto"/>
                            <w:bottom w:val="none" w:sz="0" w:space="0" w:color="auto"/>
                            <w:right w:val="none" w:sz="0" w:space="0" w:color="auto"/>
                          </w:divBdr>
                        </w:div>
                        <w:div w:id="1864830213">
                          <w:marLeft w:val="0"/>
                          <w:marRight w:val="0"/>
                          <w:marTop w:val="0"/>
                          <w:marBottom w:val="0"/>
                          <w:divBdr>
                            <w:top w:val="none" w:sz="0" w:space="0" w:color="auto"/>
                            <w:left w:val="none" w:sz="0" w:space="0" w:color="auto"/>
                            <w:bottom w:val="none" w:sz="0" w:space="0" w:color="auto"/>
                            <w:right w:val="none" w:sz="0" w:space="0" w:color="auto"/>
                          </w:divBdr>
                        </w:div>
                        <w:div w:id="1864830221">
                          <w:marLeft w:val="0"/>
                          <w:marRight w:val="0"/>
                          <w:marTop w:val="0"/>
                          <w:marBottom w:val="0"/>
                          <w:divBdr>
                            <w:top w:val="none" w:sz="0" w:space="0" w:color="auto"/>
                            <w:left w:val="none" w:sz="0" w:space="0" w:color="auto"/>
                            <w:bottom w:val="none" w:sz="0" w:space="0" w:color="auto"/>
                            <w:right w:val="none" w:sz="0" w:space="0" w:color="auto"/>
                          </w:divBdr>
                        </w:div>
                        <w:div w:id="18648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830231">
      <w:marLeft w:val="0"/>
      <w:marRight w:val="0"/>
      <w:marTop w:val="0"/>
      <w:marBottom w:val="0"/>
      <w:divBdr>
        <w:top w:val="none" w:sz="0" w:space="0" w:color="auto"/>
        <w:left w:val="none" w:sz="0" w:space="0" w:color="auto"/>
        <w:bottom w:val="none" w:sz="0" w:space="0" w:color="auto"/>
        <w:right w:val="none" w:sz="0" w:space="0" w:color="auto"/>
      </w:divBdr>
    </w:div>
    <w:div w:id="1864830234">
      <w:marLeft w:val="0"/>
      <w:marRight w:val="0"/>
      <w:marTop w:val="0"/>
      <w:marBottom w:val="0"/>
      <w:divBdr>
        <w:top w:val="none" w:sz="0" w:space="0" w:color="auto"/>
        <w:left w:val="none" w:sz="0" w:space="0" w:color="auto"/>
        <w:bottom w:val="none" w:sz="0" w:space="0" w:color="auto"/>
        <w:right w:val="none" w:sz="0" w:space="0" w:color="auto"/>
      </w:divBdr>
    </w:div>
    <w:div w:id="18648302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21FF3A-4C1F-4763-B969-7AF0927D6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799</Words>
  <Characters>4560</Characters>
  <Application>Microsoft Office Word</Application>
  <DocSecurity>0</DocSecurity>
  <Lines>38</Lines>
  <Paragraphs>10</Paragraphs>
  <ScaleCrop>false</ScaleCrop>
  <Company>STLI</Company>
  <LinksUpToDate>false</LinksUpToDate>
  <CharactersWithSpaces>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資通安全管理法草案</dc:title>
  <dc:creator>jolieliao</dc:creator>
  <cp:lastModifiedBy>林淑媛</cp:lastModifiedBy>
  <cp:revision>5</cp:revision>
  <cp:lastPrinted>2015-10-27T01:44:00Z</cp:lastPrinted>
  <dcterms:created xsi:type="dcterms:W3CDTF">2015-12-22T01:47:00Z</dcterms:created>
  <dcterms:modified xsi:type="dcterms:W3CDTF">2015-12-22T01:54:00Z</dcterms:modified>
</cp:coreProperties>
</file>