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84" w:rsidRPr="00874648" w:rsidRDefault="00F37984" w:rsidP="00F37984">
      <w:pPr>
        <w:spacing w:line="480" w:lineRule="exact"/>
        <w:ind w:leftChars="-118" w:left="-2" w:rightChars="-82" w:right="-197" w:hangingChars="78" w:hanging="281"/>
        <w:rPr>
          <w:rFonts w:ascii="標楷體" w:eastAsia="標楷體" w:hAnsi="標楷體"/>
          <w:b/>
          <w:kern w:val="0"/>
          <w:sz w:val="36"/>
          <w:szCs w:val="36"/>
        </w:rPr>
      </w:pPr>
      <w:bookmarkStart w:id="0" w:name="_GoBack"/>
      <w:bookmarkStart w:id="1" w:name="_Hlk398021820"/>
      <w:bookmarkEnd w:id="0"/>
      <w:r w:rsidRPr="00874648">
        <w:rPr>
          <w:rFonts w:ascii="標楷體" w:eastAsia="標楷體" w:hAnsi="標楷體" w:hint="eastAsia"/>
          <w:b/>
          <w:kern w:val="0"/>
          <w:sz w:val="36"/>
          <w:szCs w:val="36"/>
        </w:rPr>
        <w:t>「零售業等網路交易定型化契約應記載及不得記載事項」</w:t>
      </w:r>
    </w:p>
    <w:bookmarkEnd w:id="1"/>
    <w:p w:rsidR="00F37984" w:rsidRDefault="00F37984" w:rsidP="00F37984">
      <w:pPr>
        <w:spacing w:line="480" w:lineRule="exact"/>
        <w:ind w:firstLineChars="618" w:firstLine="2227"/>
        <w:rPr>
          <w:rFonts w:ascii="標楷體" w:eastAsia="標楷體" w:hAnsi="標楷體"/>
          <w:b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kern w:val="0"/>
          <w:sz w:val="36"/>
          <w:szCs w:val="36"/>
        </w:rPr>
        <w:t xml:space="preserve">  </w:t>
      </w:r>
      <w:r w:rsidRPr="00510B64">
        <w:rPr>
          <w:rFonts w:ascii="Times New Roman" w:eastAsia="標楷體" w:hAnsi="標楷體" w:hint="eastAsia"/>
          <w:b/>
          <w:sz w:val="36"/>
          <w:szCs w:val="36"/>
        </w:rPr>
        <w:t>第五點</w:t>
      </w:r>
      <w:r w:rsidRPr="00874648">
        <w:rPr>
          <w:rFonts w:ascii="標楷體" w:eastAsia="標楷體" w:hAnsi="標楷體" w:hint="eastAsia"/>
          <w:b/>
          <w:kern w:val="0"/>
          <w:sz w:val="36"/>
          <w:szCs w:val="36"/>
        </w:rPr>
        <w:t>修正草案總說明</w:t>
      </w:r>
    </w:p>
    <w:p w:rsidR="00F37984" w:rsidRPr="008153E3" w:rsidRDefault="00F37984" w:rsidP="00F37984">
      <w:pPr>
        <w:spacing w:line="480" w:lineRule="exact"/>
        <w:ind w:firstLineChars="618" w:firstLine="1980"/>
        <w:rPr>
          <w:rFonts w:ascii="標楷體" w:eastAsia="標楷體" w:hAnsi="標楷體"/>
          <w:b/>
          <w:kern w:val="0"/>
          <w:sz w:val="32"/>
          <w:szCs w:val="32"/>
        </w:rPr>
      </w:pPr>
    </w:p>
    <w:p w:rsidR="00F37984" w:rsidRDefault="00F37984" w:rsidP="00F37984">
      <w:pPr>
        <w:spacing w:line="480" w:lineRule="exact"/>
        <w:ind w:leftChars="-118" w:left="-18" w:rightChars="-142" w:right="-341" w:hangingChars="78" w:hanging="265"/>
        <w:rPr>
          <w:rFonts w:ascii="標楷體" w:eastAsia="標楷體" w:hAnsi="標楷體"/>
          <w:b/>
          <w:kern w:val="0"/>
          <w:sz w:val="36"/>
          <w:szCs w:val="36"/>
        </w:rPr>
      </w:pPr>
      <w:r w:rsidRPr="009F00E5">
        <w:rPr>
          <w:rFonts w:ascii="標楷體" w:eastAsia="標楷體" w:hAnsi="標楷體" w:hint="eastAsia"/>
          <w:sz w:val="34"/>
          <w:szCs w:val="34"/>
        </w:rPr>
        <w:t>「零售業等網路交易定型化契約應記載及不得記載事項」自100年1月1日生效施行以來，迄今已逾3年，惟實務上針對第五點（確認機制），除第一項規定因實務操作方式未臻明確而產生消費爭議外，另又因科技化發展改變消費環境，第二項但書規定於信用卡付款時，亦出現消費者下單與實際扣款時間差，造成「已付款」時點之認定爭議，爰擬具「零售業等網路交易定型化契約應記載及不得記載事項修正草案」。</w:t>
      </w:r>
    </w:p>
    <w:p w:rsidR="00F37984" w:rsidRDefault="00F37984" w:rsidP="00F37984">
      <w:pPr>
        <w:spacing w:line="480" w:lineRule="exact"/>
        <w:ind w:leftChars="-118" w:left="-2" w:rightChars="-142" w:right="-341" w:hangingChars="78" w:hanging="281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F37984" w:rsidRDefault="00F37984" w:rsidP="00F37984">
      <w:pPr>
        <w:spacing w:line="480" w:lineRule="exact"/>
        <w:ind w:leftChars="-118" w:left="-2" w:rightChars="-142" w:right="-341" w:hangingChars="78" w:hanging="281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F37984" w:rsidRDefault="00F37984" w:rsidP="00F37984">
      <w:pPr>
        <w:spacing w:line="480" w:lineRule="exact"/>
        <w:ind w:leftChars="-118" w:left="-2" w:rightChars="-142" w:right="-341" w:hangingChars="78" w:hanging="281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F37984" w:rsidRDefault="00F37984" w:rsidP="00F37984">
      <w:pPr>
        <w:spacing w:line="480" w:lineRule="exact"/>
        <w:ind w:leftChars="-118" w:left="-2" w:rightChars="-142" w:right="-341" w:hangingChars="78" w:hanging="281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F37984" w:rsidRDefault="00F37984" w:rsidP="00F37984">
      <w:pPr>
        <w:spacing w:line="480" w:lineRule="exact"/>
        <w:ind w:leftChars="-118" w:left="-2" w:rightChars="-142" w:right="-341" w:hangingChars="78" w:hanging="281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F37984" w:rsidRDefault="00F37984" w:rsidP="00F37984">
      <w:pPr>
        <w:spacing w:line="480" w:lineRule="exact"/>
        <w:ind w:leftChars="-118" w:left="-2" w:rightChars="-142" w:right="-341" w:hangingChars="78" w:hanging="281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F37984" w:rsidRDefault="00F37984" w:rsidP="00F37984">
      <w:pPr>
        <w:spacing w:line="480" w:lineRule="exact"/>
        <w:ind w:leftChars="-118" w:left="-2" w:rightChars="-142" w:right="-341" w:hangingChars="78" w:hanging="281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F37984" w:rsidRDefault="00F37984" w:rsidP="00F37984">
      <w:pPr>
        <w:spacing w:line="480" w:lineRule="exact"/>
        <w:ind w:leftChars="-118" w:left="-2" w:rightChars="-142" w:right="-341" w:hangingChars="78" w:hanging="281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F37984" w:rsidRDefault="00F37984" w:rsidP="00F37984">
      <w:pPr>
        <w:spacing w:line="480" w:lineRule="exact"/>
        <w:ind w:leftChars="-118" w:left="-2" w:rightChars="-142" w:right="-341" w:hangingChars="78" w:hanging="281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F37984" w:rsidRDefault="00F37984" w:rsidP="00F37984">
      <w:pPr>
        <w:spacing w:line="480" w:lineRule="exact"/>
        <w:ind w:leftChars="-118" w:left="-2" w:rightChars="-142" w:right="-341" w:hangingChars="78" w:hanging="281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F37984" w:rsidRDefault="00F37984" w:rsidP="00F37984">
      <w:pPr>
        <w:spacing w:line="480" w:lineRule="exact"/>
        <w:ind w:leftChars="-118" w:left="-2" w:rightChars="-142" w:right="-341" w:hangingChars="78" w:hanging="281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F37984" w:rsidRDefault="00F37984" w:rsidP="00F37984">
      <w:pPr>
        <w:spacing w:line="480" w:lineRule="exact"/>
        <w:ind w:leftChars="-118" w:left="-2" w:rightChars="-142" w:right="-341" w:hangingChars="78" w:hanging="281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F37984" w:rsidRDefault="00F37984" w:rsidP="00F37984">
      <w:pPr>
        <w:spacing w:line="480" w:lineRule="exact"/>
        <w:ind w:leftChars="-118" w:left="-2" w:rightChars="-142" w:right="-341" w:hangingChars="78" w:hanging="281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F37984" w:rsidRDefault="00F37984" w:rsidP="00F37984">
      <w:pPr>
        <w:spacing w:line="480" w:lineRule="exact"/>
        <w:ind w:leftChars="-118" w:left="-2" w:rightChars="-142" w:right="-341" w:hangingChars="78" w:hanging="281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F37984" w:rsidRDefault="00F37984" w:rsidP="00F37984">
      <w:pPr>
        <w:spacing w:line="480" w:lineRule="exact"/>
        <w:ind w:leftChars="-118" w:left="-2" w:rightChars="-142" w:right="-341" w:hangingChars="78" w:hanging="281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F37984" w:rsidRDefault="00F37984" w:rsidP="00F37984">
      <w:pPr>
        <w:spacing w:line="480" w:lineRule="exact"/>
        <w:ind w:leftChars="-118" w:left="-2" w:rightChars="-142" w:right="-341" w:hangingChars="78" w:hanging="281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F37984" w:rsidRDefault="00F37984" w:rsidP="00F37984">
      <w:pPr>
        <w:spacing w:line="480" w:lineRule="exact"/>
        <w:ind w:leftChars="-118" w:left="-2" w:rightChars="-142" w:right="-341" w:hangingChars="78" w:hanging="281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F37984" w:rsidRDefault="00F37984" w:rsidP="00F37984">
      <w:pPr>
        <w:spacing w:line="480" w:lineRule="exact"/>
        <w:ind w:leftChars="-118" w:left="-2" w:rightChars="-142" w:right="-341" w:hangingChars="78" w:hanging="281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F37984" w:rsidRDefault="00F37984" w:rsidP="00F37984">
      <w:pPr>
        <w:spacing w:line="480" w:lineRule="exact"/>
        <w:ind w:leftChars="-118" w:left="-2" w:rightChars="-142" w:right="-341" w:hangingChars="78" w:hanging="281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874648">
        <w:rPr>
          <w:rFonts w:ascii="標楷體" w:eastAsia="標楷體" w:hAnsi="標楷體" w:hint="eastAsia"/>
          <w:b/>
          <w:kern w:val="0"/>
          <w:sz w:val="36"/>
          <w:szCs w:val="36"/>
        </w:rPr>
        <w:lastRenderedPageBreak/>
        <w:t>「零售業等網路交易定型化契約應記載及不得記載事項」</w:t>
      </w:r>
      <w:r w:rsidRPr="00510B64">
        <w:rPr>
          <w:rFonts w:ascii="標楷體" w:eastAsia="標楷體" w:hAnsi="標楷體" w:hint="eastAsia"/>
          <w:b/>
          <w:kern w:val="0"/>
          <w:sz w:val="36"/>
          <w:szCs w:val="36"/>
        </w:rPr>
        <w:t>第五點</w:t>
      </w:r>
      <w:r w:rsidRPr="00874648">
        <w:rPr>
          <w:rFonts w:ascii="標楷體" w:eastAsia="標楷體" w:hAnsi="標楷體" w:hint="eastAsia"/>
          <w:b/>
          <w:kern w:val="0"/>
          <w:sz w:val="36"/>
          <w:szCs w:val="36"/>
        </w:rPr>
        <w:t>修正草案條文對照表</w:t>
      </w:r>
    </w:p>
    <w:p w:rsidR="00F37984" w:rsidRPr="00874648" w:rsidRDefault="00F37984" w:rsidP="00F37984">
      <w:pPr>
        <w:spacing w:line="480" w:lineRule="exact"/>
        <w:ind w:leftChars="-118" w:left="-2" w:rightChars="-142" w:right="-341" w:hangingChars="78" w:hanging="281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94"/>
        <w:gridCol w:w="2693"/>
        <w:gridCol w:w="4536"/>
      </w:tblGrid>
      <w:tr w:rsidR="00F37984" w:rsidRPr="005764BF" w:rsidTr="00F37984">
        <w:trPr>
          <w:trHeight w:val="236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984" w:rsidRPr="00510B64" w:rsidRDefault="00F37984" w:rsidP="00F37984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510B64">
              <w:rPr>
                <w:rFonts w:ascii="Times New Roman" w:eastAsia="標楷體" w:hAnsi="標楷體" w:hint="eastAsia"/>
                <w:b/>
                <w:sz w:val="32"/>
                <w:szCs w:val="32"/>
              </w:rPr>
              <w:t>修正</w:t>
            </w:r>
            <w:r w:rsidRPr="00510B64">
              <w:rPr>
                <w:rFonts w:ascii="Times New Roman" w:eastAsia="標楷體" w:hAnsi="標楷體"/>
                <w:b/>
                <w:sz w:val="32"/>
                <w:szCs w:val="32"/>
              </w:rPr>
              <w:t>條文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984" w:rsidRPr="00510B64" w:rsidRDefault="00F37984" w:rsidP="00655106">
            <w:pPr>
              <w:spacing w:line="440" w:lineRule="exact"/>
              <w:jc w:val="center"/>
              <w:rPr>
                <w:rFonts w:ascii="Times New Roman" w:eastAsia="標楷體" w:hAnsi="標楷體"/>
                <w:b/>
                <w:sz w:val="32"/>
                <w:szCs w:val="32"/>
              </w:rPr>
            </w:pPr>
            <w:r w:rsidRPr="00510B64">
              <w:rPr>
                <w:rFonts w:ascii="Times New Roman" w:eastAsia="標楷體" w:hAnsi="標楷體" w:hint="eastAsia"/>
                <w:b/>
                <w:sz w:val="32"/>
                <w:szCs w:val="32"/>
              </w:rPr>
              <w:t>現行條文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984" w:rsidRPr="00510B64" w:rsidRDefault="00F37984" w:rsidP="00655106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510B64">
              <w:rPr>
                <w:rFonts w:ascii="Times New Roman" w:eastAsia="標楷體" w:hAnsi="標楷體" w:hint="eastAsia"/>
                <w:b/>
                <w:sz w:val="32"/>
                <w:szCs w:val="32"/>
              </w:rPr>
              <w:t>說明</w:t>
            </w:r>
          </w:p>
        </w:tc>
      </w:tr>
      <w:tr w:rsidR="00F37984" w:rsidRPr="005764BF" w:rsidTr="00F37984">
        <w:trPr>
          <w:trHeight w:val="274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984" w:rsidRDefault="00F37984" w:rsidP="00F37984">
            <w:pPr>
              <w:spacing w:line="360" w:lineRule="exact"/>
              <w:rPr>
                <w:rFonts w:ascii="Times New Roman" w:eastAsia="標楷體" w:hAnsi="標楷體"/>
                <w:sz w:val="32"/>
                <w:szCs w:val="32"/>
              </w:rPr>
            </w:pPr>
            <w:r w:rsidRPr="00510B64">
              <w:rPr>
                <w:rFonts w:ascii="Times New Roman" w:eastAsia="標楷體" w:hAnsi="標楷體" w:hint="eastAsia"/>
                <w:b/>
                <w:sz w:val="32"/>
                <w:szCs w:val="32"/>
              </w:rPr>
              <w:t>五、</w:t>
            </w:r>
            <w:r w:rsidRPr="00510B6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確認機制</w:t>
            </w:r>
          </w:p>
          <w:p w:rsidR="00F37984" w:rsidRPr="00510B64" w:rsidRDefault="00F37984" w:rsidP="00F37984">
            <w:pPr>
              <w:spacing w:line="360" w:lineRule="exact"/>
              <w:rPr>
                <w:rFonts w:ascii="Times New Roman" w:eastAsia="標楷體" w:hAnsi="標楷體"/>
                <w:sz w:val="32"/>
                <w:szCs w:val="32"/>
              </w:rPr>
            </w:pPr>
            <w:r>
              <w:rPr>
                <w:rFonts w:ascii="Times New Roman" w:eastAsia="標楷體" w:hAnsi="標楷體" w:hint="eastAsia"/>
                <w:sz w:val="32"/>
                <w:szCs w:val="32"/>
              </w:rPr>
              <w:t xml:space="preserve">    </w:t>
            </w:r>
            <w:r w:rsidRPr="00936DC8">
              <w:rPr>
                <w:rFonts w:ascii="Times New Roman" w:eastAsia="標楷體" w:hAnsi="標楷體" w:hint="eastAsia"/>
                <w:sz w:val="32"/>
                <w:szCs w:val="32"/>
              </w:rPr>
              <w:t>消費者依據企業經營者</w:t>
            </w:r>
            <w:r w:rsidRPr="00F37984">
              <w:rPr>
                <w:rFonts w:ascii="Times New Roman" w:eastAsia="標楷體" w:hAnsi="標楷體" w:hint="eastAsia"/>
                <w:b/>
                <w:sz w:val="32"/>
                <w:szCs w:val="32"/>
                <w:u w:val="single"/>
              </w:rPr>
              <w:t>所</w:t>
            </w:r>
            <w:r w:rsidRPr="00936DC8">
              <w:rPr>
                <w:rFonts w:ascii="Times New Roman" w:eastAsia="標楷體" w:hAnsi="標楷體" w:hint="eastAsia"/>
                <w:sz w:val="32"/>
                <w:szCs w:val="32"/>
              </w:rPr>
              <w:t>提供之商品數量及價格確認機制進行</w:t>
            </w:r>
            <w:r w:rsidRPr="00F37984">
              <w:rPr>
                <w:rFonts w:ascii="Times New Roman" w:eastAsia="標楷體" w:hAnsi="標楷體" w:hint="eastAsia"/>
                <w:b/>
                <w:sz w:val="32"/>
                <w:szCs w:val="32"/>
                <w:u w:val="single"/>
              </w:rPr>
              <w:t>訂購</w:t>
            </w:r>
            <w:r w:rsidRPr="00936DC8">
              <w:rPr>
                <w:rFonts w:ascii="Times New Roman" w:eastAsia="標楷體" w:hAnsi="標楷體" w:hint="eastAsia"/>
                <w:sz w:val="32"/>
                <w:szCs w:val="32"/>
              </w:rPr>
              <w:t>。</w:t>
            </w:r>
          </w:p>
          <w:p w:rsidR="00F37984" w:rsidRDefault="00F37984" w:rsidP="00F37984">
            <w:pPr>
              <w:spacing w:line="360" w:lineRule="exact"/>
              <w:rPr>
                <w:rFonts w:ascii="Times New Roman" w:eastAsia="標楷體" w:hAnsi="標楷體"/>
                <w:sz w:val="32"/>
                <w:szCs w:val="32"/>
                <w:u w:val="single"/>
              </w:rPr>
            </w:pPr>
            <w:r w:rsidRPr="00510B64">
              <w:rPr>
                <w:rFonts w:ascii="Times New Roman" w:eastAsia="標楷體" w:hAnsi="標楷體" w:hint="eastAsia"/>
                <w:sz w:val="32"/>
                <w:szCs w:val="32"/>
              </w:rPr>
              <w:t xml:space="preserve">   </w:t>
            </w:r>
            <w:r w:rsidRPr="00936DC8">
              <w:rPr>
                <w:rFonts w:ascii="Times New Roman" w:eastAsia="標楷體" w:hAnsi="標楷體" w:hint="eastAsia"/>
                <w:sz w:val="32"/>
                <w:szCs w:val="32"/>
              </w:rPr>
              <w:t>企業經營者對</w:t>
            </w:r>
            <w:r w:rsidRPr="00F37984">
              <w:rPr>
                <w:rFonts w:ascii="Times New Roman" w:eastAsia="標楷體" w:hAnsi="標楷體" w:hint="eastAsia"/>
                <w:b/>
                <w:sz w:val="32"/>
                <w:szCs w:val="32"/>
                <w:u w:val="single"/>
              </w:rPr>
              <w:t>於消費者依前項程序所完成之訂購，應於二工作日內向消費者進行通知。該通知內容應包含消費者所訂購之商品名稱、總價格、內容、規格、型號與預定出貨期程</w:t>
            </w:r>
            <w:r w:rsidRPr="00936DC8">
              <w:rPr>
                <w:rFonts w:ascii="Times New Roman" w:eastAsia="標楷體" w:hAnsi="標楷體" w:hint="eastAsia"/>
                <w:sz w:val="32"/>
                <w:szCs w:val="32"/>
                <w:u w:val="single"/>
              </w:rPr>
              <w:t>。</w:t>
            </w:r>
          </w:p>
          <w:p w:rsidR="00F37984" w:rsidRPr="00510B64" w:rsidRDefault="00F37984" w:rsidP="00F37984">
            <w:pPr>
              <w:spacing w:line="360" w:lineRule="exact"/>
              <w:rPr>
                <w:rFonts w:ascii="Times New Roman" w:eastAsia="標楷體" w:hAnsi="標楷體"/>
                <w:sz w:val="32"/>
                <w:szCs w:val="32"/>
              </w:rPr>
            </w:pPr>
            <w:r w:rsidRPr="00936DC8">
              <w:rPr>
                <w:rFonts w:ascii="Times New Roman" w:eastAsia="標楷體" w:hAnsi="標楷體" w:hint="eastAsia"/>
                <w:sz w:val="32"/>
                <w:szCs w:val="32"/>
              </w:rPr>
              <w:t xml:space="preserve">   </w:t>
            </w:r>
            <w:r w:rsidRPr="00F37984">
              <w:rPr>
                <w:rFonts w:ascii="Times New Roman" w:eastAsia="標楷體" w:hAnsi="標楷體" w:hint="eastAsia"/>
                <w:b/>
                <w:sz w:val="32"/>
                <w:szCs w:val="32"/>
                <w:u w:val="single"/>
              </w:rPr>
              <w:t>企業經營者未能完成前項通知，消費者得要求企業經營者依雙方嗣後約定期程出貨，出貨於消費者已無利益者，消費者亦得取消訂單或由企業經營者提供其他替代解決方式</w:t>
            </w:r>
            <w:r w:rsidRPr="008B0CA1">
              <w:rPr>
                <w:rFonts w:ascii="Times New Roman" w:eastAsia="標楷體" w:hAnsi="標楷體" w:hint="eastAsia"/>
                <w:sz w:val="32"/>
                <w:szCs w:val="32"/>
                <w:u w:val="single"/>
              </w:rPr>
              <w:t>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984" w:rsidRDefault="00F37984" w:rsidP="00F37984">
            <w:pPr>
              <w:spacing w:line="360" w:lineRule="exact"/>
              <w:rPr>
                <w:rFonts w:ascii="Times New Roman" w:eastAsia="標楷體" w:hAnsi="標楷體"/>
                <w:sz w:val="32"/>
                <w:szCs w:val="32"/>
              </w:rPr>
            </w:pPr>
            <w:r w:rsidRPr="00510B64">
              <w:rPr>
                <w:rFonts w:ascii="Times New Roman" w:eastAsia="標楷體" w:hAnsi="標楷體" w:hint="eastAsia"/>
                <w:b/>
                <w:sz w:val="32"/>
                <w:szCs w:val="32"/>
              </w:rPr>
              <w:t>五、</w:t>
            </w:r>
            <w:r w:rsidRPr="00510B6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確認機制</w:t>
            </w:r>
          </w:p>
          <w:p w:rsidR="00F37984" w:rsidRPr="00510B64" w:rsidRDefault="00F37984" w:rsidP="00F37984">
            <w:pPr>
              <w:spacing w:line="360" w:lineRule="exact"/>
              <w:rPr>
                <w:rFonts w:ascii="Times New Roman" w:eastAsia="標楷體" w:hAnsi="標楷體"/>
                <w:sz w:val="32"/>
                <w:szCs w:val="32"/>
              </w:rPr>
            </w:pPr>
            <w:r>
              <w:rPr>
                <w:rFonts w:ascii="Times New Roman" w:eastAsia="標楷體" w:hAnsi="標楷體" w:hint="eastAsia"/>
                <w:sz w:val="32"/>
                <w:szCs w:val="32"/>
              </w:rPr>
              <w:t xml:space="preserve">    </w:t>
            </w:r>
            <w:r w:rsidRPr="00510B64">
              <w:rPr>
                <w:rFonts w:ascii="Times New Roman" w:eastAsia="標楷體" w:hAnsi="標楷體"/>
                <w:sz w:val="32"/>
                <w:szCs w:val="32"/>
              </w:rPr>
              <w:t>消費者依據企業經營者提供之</w:t>
            </w:r>
            <w:r w:rsidRPr="00510B64">
              <w:rPr>
                <w:rFonts w:ascii="Times New Roman" w:eastAsia="標楷體" w:hAnsi="標楷體"/>
                <w:sz w:val="32"/>
                <w:szCs w:val="32"/>
                <w:u w:val="single"/>
              </w:rPr>
              <w:t>確認</w:t>
            </w:r>
            <w:r w:rsidRPr="00510B64">
              <w:rPr>
                <w:rFonts w:ascii="Times New Roman" w:eastAsia="標楷體" w:hAnsi="標楷體"/>
                <w:sz w:val="32"/>
                <w:szCs w:val="32"/>
              </w:rPr>
              <w:t>商品數量及價格機制進行下單。</w:t>
            </w:r>
          </w:p>
          <w:p w:rsidR="00F37984" w:rsidRPr="00510B64" w:rsidRDefault="00F37984" w:rsidP="00F37984">
            <w:pPr>
              <w:spacing w:line="360" w:lineRule="exact"/>
              <w:rPr>
                <w:rFonts w:ascii="Times New Roman" w:eastAsia="標楷體" w:hAnsi="標楷體"/>
                <w:sz w:val="32"/>
                <w:szCs w:val="32"/>
              </w:rPr>
            </w:pPr>
            <w:r w:rsidRPr="00510B64">
              <w:rPr>
                <w:rFonts w:ascii="Times New Roman" w:eastAsia="標楷體" w:hAnsi="標楷體" w:hint="eastAsia"/>
                <w:sz w:val="32"/>
                <w:szCs w:val="32"/>
              </w:rPr>
              <w:t xml:space="preserve">   </w:t>
            </w:r>
            <w:r w:rsidRPr="00510B64">
              <w:rPr>
                <w:rFonts w:ascii="Times New Roman" w:eastAsia="標楷體" w:hAnsi="標楷體"/>
                <w:sz w:val="32"/>
                <w:szCs w:val="32"/>
              </w:rPr>
              <w:t>企業經營者對</w:t>
            </w:r>
            <w:r w:rsidRPr="00510B64">
              <w:rPr>
                <w:rFonts w:ascii="Times New Roman" w:eastAsia="標楷體" w:hAnsi="標楷體"/>
                <w:sz w:val="32"/>
                <w:szCs w:val="32"/>
                <w:u w:val="single"/>
              </w:rPr>
              <w:t>下單內容，除於下單後二工作日</w:t>
            </w:r>
            <w:r w:rsidRPr="00510B64">
              <w:rPr>
                <w:rFonts w:ascii="Times New Roman" w:eastAsia="標楷體" w:hAnsi="標楷體" w:hint="eastAsia"/>
                <w:sz w:val="32"/>
                <w:szCs w:val="32"/>
                <w:u w:val="single"/>
              </w:rPr>
              <w:t>內</w:t>
            </w:r>
            <w:r w:rsidRPr="00510B64">
              <w:rPr>
                <w:rFonts w:ascii="Times New Roman" w:eastAsia="標楷體" w:hAnsi="標楷體"/>
                <w:sz w:val="32"/>
                <w:szCs w:val="32"/>
                <w:u w:val="single"/>
              </w:rPr>
              <w:t>附正當理由為拒絕外，為接受下單。但消費者已付款者，視為契約成立。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984" w:rsidRDefault="00F37984" w:rsidP="00F37984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eastAsia="標楷體" w:hAnsi="標楷體"/>
                <w:sz w:val="32"/>
                <w:szCs w:val="32"/>
              </w:rPr>
            </w:pPr>
            <w:r w:rsidRPr="00510B64">
              <w:rPr>
                <w:rFonts w:ascii="Times New Roman" w:eastAsia="標楷體" w:hAnsi="標楷體" w:hint="eastAsia"/>
                <w:sz w:val="32"/>
                <w:szCs w:val="32"/>
              </w:rPr>
              <w:t>參考</w:t>
            </w:r>
            <w:r w:rsidRPr="00510B64">
              <w:rPr>
                <w:rFonts w:ascii="Times New Roman" w:eastAsia="標楷體" w:hAnsi="標楷體"/>
                <w:sz w:val="32"/>
                <w:szCs w:val="32"/>
              </w:rPr>
              <w:t>美國統一電子交易法、加拿大統一電子商務法、</w:t>
            </w:r>
            <w:r w:rsidRPr="00510B64">
              <w:rPr>
                <w:rFonts w:ascii="Times New Roman" w:eastAsia="標楷體" w:hAnsi="標楷體" w:hint="eastAsia"/>
                <w:sz w:val="32"/>
                <w:szCs w:val="32"/>
              </w:rPr>
              <w:t>歐盟消費者權利保護指令、英國</w:t>
            </w:r>
            <w:r w:rsidRPr="00510B64">
              <w:rPr>
                <w:rFonts w:ascii="Times New Roman" w:eastAsia="標楷體" w:hAnsi="標楷體" w:hint="eastAsia"/>
                <w:sz w:val="32"/>
                <w:szCs w:val="32"/>
              </w:rPr>
              <w:t>2013</w:t>
            </w:r>
            <w:r w:rsidRPr="00510B64">
              <w:rPr>
                <w:rFonts w:ascii="Times New Roman" w:eastAsia="標楷體" w:hAnsi="標楷體" w:hint="eastAsia"/>
                <w:sz w:val="32"/>
                <w:szCs w:val="32"/>
              </w:rPr>
              <w:t>年消費契約法、德國民法等國際立法例，企業經營者</w:t>
            </w:r>
            <w:r>
              <w:rPr>
                <w:rFonts w:ascii="Times New Roman" w:eastAsia="標楷體" w:hAnsi="標楷體" w:hint="eastAsia"/>
                <w:sz w:val="32"/>
                <w:szCs w:val="32"/>
              </w:rPr>
              <w:t>就消費者</w:t>
            </w:r>
            <w:r w:rsidRPr="005536A4">
              <w:rPr>
                <w:rFonts w:ascii="Times New Roman" w:eastAsia="標楷體" w:hAnsi="標楷體" w:hint="eastAsia"/>
                <w:sz w:val="32"/>
                <w:szCs w:val="32"/>
              </w:rPr>
              <w:t>訂購程序，應設置商</w:t>
            </w:r>
            <w:r w:rsidRPr="00936DC8">
              <w:rPr>
                <w:rFonts w:ascii="Times New Roman" w:eastAsia="標楷體" w:hAnsi="標楷體" w:hint="eastAsia"/>
                <w:sz w:val="32"/>
                <w:szCs w:val="32"/>
              </w:rPr>
              <w:t>品數量及價格確認機制</w:t>
            </w:r>
            <w:r w:rsidRPr="00510B64">
              <w:rPr>
                <w:rFonts w:ascii="Times New Roman" w:eastAsia="標楷體" w:hAnsi="標楷體" w:hint="eastAsia"/>
                <w:sz w:val="32"/>
                <w:szCs w:val="32"/>
              </w:rPr>
              <w:t>。</w:t>
            </w:r>
          </w:p>
          <w:p w:rsidR="00F37984" w:rsidRPr="005536A4" w:rsidRDefault="00F37984" w:rsidP="00F37984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eastAsia="標楷體" w:hAnsi="標楷體"/>
                <w:color w:val="103015" w:themeColor="text1"/>
                <w:sz w:val="32"/>
                <w:szCs w:val="32"/>
              </w:rPr>
            </w:pPr>
            <w:r w:rsidRPr="00510B64">
              <w:rPr>
                <w:rFonts w:ascii="Times New Roman" w:eastAsia="標楷體" w:hAnsi="標楷體" w:hint="eastAsia"/>
                <w:sz w:val="32"/>
                <w:szCs w:val="32"/>
              </w:rPr>
              <w:t>考量</w:t>
            </w:r>
            <w:r>
              <w:rPr>
                <w:rFonts w:ascii="Times New Roman" w:eastAsia="標楷體" w:hAnsi="標楷體" w:hint="eastAsia"/>
                <w:sz w:val="32"/>
                <w:szCs w:val="32"/>
              </w:rPr>
              <w:t>現行網路購物實務運作推陳出新，企業經營者有主打短時間到貨，亦有提供預購等到貨期程相對較長之服務型態，為</w:t>
            </w:r>
            <w:r w:rsidRPr="00510B64">
              <w:rPr>
                <w:rFonts w:ascii="Times New Roman" w:eastAsia="標楷體" w:hAnsi="標楷體" w:hint="eastAsia"/>
                <w:sz w:val="32"/>
                <w:szCs w:val="32"/>
              </w:rPr>
              <w:t>周全保護</w:t>
            </w:r>
            <w:r>
              <w:rPr>
                <w:rFonts w:ascii="Times New Roman" w:eastAsia="標楷體" w:hAnsi="標楷體" w:hint="eastAsia"/>
                <w:sz w:val="32"/>
                <w:szCs w:val="32"/>
              </w:rPr>
              <w:t>消費者</w:t>
            </w:r>
            <w:r w:rsidRPr="00510B64">
              <w:rPr>
                <w:rFonts w:ascii="Times New Roman" w:eastAsia="標楷體" w:hAnsi="標楷體" w:hint="eastAsia"/>
                <w:sz w:val="32"/>
                <w:szCs w:val="32"/>
              </w:rPr>
              <w:t>，</w:t>
            </w:r>
            <w:r>
              <w:rPr>
                <w:rFonts w:ascii="Times New Roman" w:eastAsia="標楷體" w:hAnsi="標楷體" w:hint="eastAsia"/>
                <w:sz w:val="32"/>
                <w:szCs w:val="32"/>
              </w:rPr>
              <w:t>企業經營者就消費者所為之訂購，應於二工作日內向消費者進行通知，其通知內容須包括</w:t>
            </w:r>
            <w:r w:rsidRPr="00333F7E">
              <w:rPr>
                <w:rFonts w:ascii="Times New Roman" w:eastAsia="標楷體" w:hAnsi="標楷體" w:hint="eastAsia"/>
                <w:sz w:val="32"/>
                <w:szCs w:val="32"/>
              </w:rPr>
              <w:t>預定出貨</w:t>
            </w:r>
            <w:r w:rsidRPr="00DB6155">
              <w:rPr>
                <w:rFonts w:ascii="Times New Roman" w:eastAsia="標楷體" w:hAnsi="標楷體" w:hint="eastAsia"/>
                <w:sz w:val="32"/>
                <w:szCs w:val="32"/>
              </w:rPr>
              <w:t>期程等重要事項。若企業經營者未能完成前項通知，應提供取消訂單或其他替代解決方式</w:t>
            </w:r>
            <w:r>
              <w:rPr>
                <w:rFonts w:ascii="Times New Roman" w:eastAsia="標楷體" w:hAnsi="標楷體" w:hint="eastAsia"/>
                <w:color w:val="103015" w:themeColor="text1"/>
                <w:sz w:val="32"/>
                <w:szCs w:val="32"/>
              </w:rPr>
              <w:t>。又</w:t>
            </w:r>
            <w:r w:rsidRPr="005536A4">
              <w:rPr>
                <w:rFonts w:ascii="Times New Roman" w:eastAsia="標楷體" w:hAnsi="標楷體" w:hint="eastAsia"/>
                <w:color w:val="103015" w:themeColor="text1"/>
                <w:sz w:val="32"/>
                <w:szCs w:val="32"/>
              </w:rPr>
              <w:t>網路交易之通知，</w:t>
            </w:r>
            <w:r>
              <w:rPr>
                <w:rFonts w:ascii="Times New Roman" w:eastAsia="標楷體" w:hAnsi="標楷體" w:hint="eastAsia"/>
                <w:color w:val="103015" w:themeColor="text1"/>
                <w:sz w:val="32"/>
                <w:szCs w:val="32"/>
              </w:rPr>
              <w:t>實務作法普遍</w:t>
            </w:r>
            <w:r w:rsidRPr="005536A4">
              <w:rPr>
                <w:rFonts w:ascii="Times New Roman" w:eastAsia="標楷體" w:hAnsi="標楷體" w:hint="eastAsia"/>
                <w:color w:val="103015" w:themeColor="text1"/>
                <w:sz w:val="32"/>
                <w:szCs w:val="32"/>
              </w:rPr>
              <w:t>以電子郵件為之，基於資安考量，企業或選擇不將詳細交易內容記載於電子郵件中，僅以電子郵件通知消費者已接獲其訂購訊息，並提供線上即時查詢機制使消費者得以即時、隨時查詢其詳細交易內容。</w:t>
            </w:r>
          </w:p>
          <w:p w:rsidR="00F37984" w:rsidRPr="00BE05F1" w:rsidRDefault="00F37984" w:rsidP="00F37984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eastAsia="標楷體" w:hAnsi="標楷體"/>
                <w:sz w:val="32"/>
                <w:szCs w:val="32"/>
              </w:rPr>
            </w:pPr>
            <w:r w:rsidRPr="005536A4">
              <w:rPr>
                <w:rFonts w:ascii="Times New Roman" w:eastAsia="標楷體" w:hAnsi="標楷體" w:hint="eastAsia"/>
                <w:color w:val="103015" w:themeColor="text1"/>
                <w:sz w:val="32"/>
                <w:szCs w:val="32"/>
              </w:rPr>
              <w:t>企業經營者本應依契約所載之內容履行其義務，自</w:t>
            </w:r>
            <w:r w:rsidRPr="005536A4">
              <w:rPr>
                <w:rFonts w:ascii="Times New Roman" w:eastAsia="標楷體" w:hAnsi="標楷體" w:hint="eastAsia"/>
                <w:color w:val="103015" w:themeColor="text1"/>
                <w:sz w:val="32"/>
                <w:szCs w:val="32"/>
              </w:rPr>
              <w:lastRenderedPageBreak/>
              <w:t>不待言。另遇有企業經營者未能於其通知之預定出貨期程內完成交</w:t>
            </w:r>
            <w:r w:rsidRPr="00DB6155">
              <w:rPr>
                <w:rFonts w:ascii="Times New Roman" w:eastAsia="標楷體" w:hAnsi="標楷體" w:hint="eastAsia"/>
                <w:sz w:val="32"/>
                <w:szCs w:val="32"/>
              </w:rPr>
              <w:t>付，民法中已訂有債務不履行</w:t>
            </w:r>
            <w:r w:rsidRPr="00DB6155">
              <w:rPr>
                <w:rFonts w:ascii="Times New Roman" w:eastAsia="標楷體" w:hAnsi="標楷體" w:hint="eastAsia"/>
                <w:sz w:val="32"/>
                <w:szCs w:val="32"/>
              </w:rPr>
              <w:t>(</w:t>
            </w:r>
            <w:r w:rsidRPr="00DB6155">
              <w:rPr>
                <w:rFonts w:ascii="Times New Roman" w:eastAsia="標楷體" w:hAnsi="標楷體" w:hint="eastAsia"/>
                <w:sz w:val="32"/>
                <w:szCs w:val="32"/>
              </w:rPr>
              <w:t>給付不能及給付遲延</w:t>
            </w:r>
            <w:r w:rsidRPr="00DB6155">
              <w:rPr>
                <w:rFonts w:ascii="Times New Roman" w:eastAsia="標楷體" w:hAnsi="標楷體" w:hint="eastAsia"/>
                <w:sz w:val="32"/>
                <w:szCs w:val="32"/>
              </w:rPr>
              <w:t>)</w:t>
            </w:r>
            <w:r w:rsidRPr="00DB6155">
              <w:rPr>
                <w:rFonts w:ascii="Times New Roman" w:eastAsia="標楷體" w:hAnsi="標楷體" w:hint="eastAsia"/>
                <w:sz w:val="32"/>
                <w:szCs w:val="32"/>
              </w:rPr>
              <w:t>之相關規定；消費者保護法亦明定消費者得於收受商品後七日內，無須說明理由及負擔任何費用或價款，解除其買賣契約。故企業經營者若未於其通知之預定出貨期程內交付商品，消費者自得依民法及消</w:t>
            </w:r>
            <w:r>
              <w:rPr>
                <w:rFonts w:ascii="Times New Roman" w:eastAsia="標楷體" w:hAnsi="標楷體" w:hint="eastAsia"/>
                <w:sz w:val="32"/>
                <w:szCs w:val="32"/>
              </w:rPr>
              <w:t>費者</w:t>
            </w:r>
            <w:r w:rsidRPr="00DB6155">
              <w:rPr>
                <w:rFonts w:ascii="Times New Roman" w:eastAsia="標楷體" w:hAnsi="標楷體" w:hint="eastAsia"/>
                <w:sz w:val="32"/>
                <w:szCs w:val="32"/>
              </w:rPr>
              <w:t>保</w:t>
            </w:r>
            <w:r>
              <w:rPr>
                <w:rFonts w:ascii="Times New Roman" w:eastAsia="標楷體" w:hAnsi="標楷體" w:hint="eastAsia"/>
                <w:sz w:val="32"/>
                <w:szCs w:val="32"/>
              </w:rPr>
              <w:t>護</w:t>
            </w:r>
            <w:r w:rsidRPr="00DB6155">
              <w:rPr>
                <w:rFonts w:ascii="Times New Roman" w:eastAsia="標楷體" w:hAnsi="標楷體" w:hint="eastAsia"/>
                <w:sz w:val="32"/>
                <w:szCs w:val="32"/>
              </w:rPr>
              <w:t>法相關規定主張其權利。</w:t>
            </w:r>
          </w:p>
        </w:tc>
      </w:tr>
    </w:tbl>
    <w:p w:rsidR="00B33697" w:rsidRDefault="00B33697"/>
    <w:p w:rsidR="00F37984" w:rsidRDefault="00F37984"/>
    <w:p w:rsidR="00F37984" w:rsidRDefault="00F37984"/>
    <w:p w:rsidR="00F37984" w:rsidRDefault="00F37984"/>
    <w:p w:rsidR="00F37984" w:rsidRDefault="00F37984"/>
    <w:p w:rsidR="00F37984" w:rsidRDefault="00F37984"/>
    <w:p w:rsidR="00F37984" w:rsidRDefault="00F37984"/>
    <w:p w:rsidR="00F37984" w:rsidRDefault="00F37984"/>
    <w:p w:rsidR="00F37984" w:rsidRDefault="00F37984"/>
    <w:p w:rsidR="00F37984" w:rsidRDefault="00F37984"/>
    <w:p w:rsidR="00F37984" w:rsidRDefault="00F37984"/>
    <w:p w:rsidR="00F37984" w:rsidRDefault="00F37984"/>
    <w:p w:rsidR="00F37984" w:rsidRDefault="00F37984"/>
    <w:p w:rsidR="00F37984" w:rsidRDefault="00F37984"/>
    <w:p w:rsidR="00F37984" w:rsidRDefault="00F37984"/>
    <w:p w:rsidR="00F37984" w:rsidRDefault="00F37984"/>
    <w:p w:rsidR="00F37984" w:rsidRDefault="00F37984"/>
    <w:p w:rsidR="00F37984" w:rsidRDefault="00F37984"/>
    <w:p w:rsidR="00F37984" w:rsidRDefault="00F37984"/>
    <w:p w:rsidR="00F37984" w:rsidRDefault="00F37984"/>
    <w:p w:rsidR="00F37984" w:rsidRDefault="00F37984"/>
    <w:p w:rsidR="00F37984" w:rsidRDefault="00F37984"/>
    <w:p w:rsidR="00F37984" w:rsidRDefault="00F37984"/>
    <w:p w:rsidR="00F37984" w:rsidRDefault="00F37984" w:rsidP="00F37984">
      <w:pPr>
        <w:snapToGrid w:val="0"/>
        <w:spacing w:line="520" w:lineRule="exact"/>
        <w:jc w:val="center"/>
        <w:rPr>
          <w:rFonts w:ascii="標楷體" w:eastAsia="標楷體" w:hAnsi="標楷體"/>
          <w:b/>
          <w:spacing w:val="-16"/>
          <w:kern w:val="32"/>
          <w:sz w:val="36"/>
          <w:szCs w:val="36"/>
        </w:rPr>
      </w:pPr>
      <w:r w:rsidRPr="0062527A">
        <w:rPr>
          <w:rFonts w:ascii="標楷體" w:eastAsia="標楷體" w:hAnsi="標楷體" w:hint="eastAsia"/>
          <w:b/>
          <w:sz w:val="36"/>
          <w:szCs w:val="36"/>
        </w:rPr>
        <w:t>行政院消費者保護處</w:t>
      </w:r>
      <w:r w:rsidRPr="0062527A">
        <w:rPr>
          <w:rFonts w:ascii="標楷體" w:eastAsia="標楷體" w:hAnsi="標楷體"/>
          <w:b/>
          <w:sz w:val="36"/>
          <w:szCs w:val="36"/>
        </w:rPr>
        <w:t>會議</w:t>
      </w:r>
      <w:r w:rsidRPr="0062527A">
        <w:rPr>
          <w:rFonts w:ascii="標楷體" w:eastAsia="標楷體" w:hAnsi="標楷體" w:hint="eastAsia"/>
          <w:b/>
          <w:sz w:val="36"/>
          <w:szCs w:val="36"/>
        </w:rPr>
        <w:t>紀</w:t>
      </w:r>
      <w:r w:rsidRPr="0062527A">
        <w:rPr>
          <w:rFonts w:ascii="標楷體" w:eastAsia="標楷體" w:hAnsi="標楷體" w:hint="eastAsia"/>
          <w:b/>
          <w:bCs/>
          <w:sz w:val="36"/>
          <w:szCs w:val="36"/>
        </w:rPr>
        <w:t>錄</w:t>
      </w:r>
    </w:p>
    <w:p w:rsidR="00F37984" w:rsidRPr="0095702A" w:rsidRDefault="00F37984" w:rsidP="00F37984">
      <w:pPr>
        <w:snapToGrid w:val="0"/>
        <w:spacing w:line="5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:rsidR="00F37984" w:rsidRPr="00E134A3" w:rsidRDefault="00F37984" w:rsidP="00F37984">
      <w:pPr>
        <w:snapToGrid w:val="0"/>
        <w:spacing w:line="440" w:lineRule="exact"/>
        <w:ind w:left="1650" w:hangingChars="515" w:hanging="1650"/>
        <w:rPr>
          <w:rFonts w:ascii="標楷體" w:eastAsia="標楷體" w:hAnsi="標楷體"/>
          <w:b/>
          <w:spacing w:val="-16"/>
          <w:kern w:val="32"/>
          <w:sz w:val="32"/>
          <w:szCs w:val="32"/>
        </w:rPr>
      </w:pPr>
      <w:r w:rsidRPr="00E134A3">
        <w:rPr>
          <w:rFonts w:ascii="標楷體" w:eastAsia="標楷體" w:hint="eastAsia"/>
          <w:b/>
          <w:bCs/>
          <w:sz w:val="32"/>
          <w:szCs w:val="32"/>
        </w:rPr>
        <w:t>開會事由：</w:t>
      </w:r>
      <w:r>
        <w:rPr>
          <w:rFonts w:ascii="標楷體" w:eastAsia="標楷體" w:cs="標楷體" w:hint="eastAsia"/>
          <w:sz w:val="32"/>
          <w:szCs w:val="32"/>
          <w:lang w:val="zh-TW"/>
        </w:rPr>
        <w:t>「零售業等網路交易定型化契約應記載及不得記載事項修正草案」審查會議</w:t>
      </w:r>
    </w:p>
    <w:p w:rsidR="00F37984" w:rsidRPr="00E134A3" w:rsidRDefault="00F37984" w:rsidP="00F37984">
      <w:pPr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  <w:r w:rsidRPr="00E134A3">
        <w:rPr>
          <w:rFonts w:ascii="標楷體" w:eastAsia="標楷體" w:hint="eastAsia"/>
          <w:b/>
          <w:bCs/>
          <w:sz w:val="32"/>
          <w:szCs w:val="32"/>
        </w:rPr>
        <w:t>開會時間</w:t>
      </w:r>
      <w:r w:rsidRPr="00E134A3">
        <w:rPr>
          <w:rFonts w:ascii="標楷體" w:eastAsia="標楷體" w:hAnsi="標楷體" w:hint="eastAsia"/>
          <w:sz w:val="32"/>
          <w:szCs w:val="32"/>
        </w:rPr>
        <w:t>：103年</w:t>
      </w:r>
      <w:r>
        <w:rPr>
          <w:rFonts w:ascii="標楷體" w:eastAsia="標楷體" w:hAnsi="標楷體" w:hint="eastAsia"/>
          <w:sz w:val="32"/>
          <w:szCs w:val="32"/>
        </w:rPr>
        <w:t>11</w:t>
      </w:r>
      <w:r w:rsidRPr="00E134A3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Pr="00E134A3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E134A3">
        <w:rPr>
          <w:rFonts w:ascii="標楷體" w:eastAsia="標楷體" w:hAnsi="標楷體" w:hint="eastAsia"/>
          <w:sz w:val="32"/>
          <w:szCs w:val="32"/>
        </w:rPr>
        <w:t>)</w:t>
      </w:r>
      <w:r w:rsidRPr="0024384D">
        <w:rPr>
          <w:rFonts w:ascii="標楷體" w:eastAsia="標楷體" w:cs="標楷體" w:hint="eastAsia"/>
          <w:sz w:val="32"/>
          <w:szCs w:val="32"/>
          <w:lang w:val="zh-TW"/>
        </w:rPr>
        <w:t xml:space="preserve"> </w:t>
      </w:r>
      <w:r>
        <w:rPr>
          <w:rFonts w:ascii="標楷體" w:eastAsia="標楷體" w:cs="標楷體" w:hint="eastAsia"/>
          <w:sz w:val="32"/>
          <w:szCs w:val="32"/>
          <w:lang w:val="zh-TW"/>
        </w:rPr>
        <w:t>上午</w:t>
      </w:r>
      <w:r>
        <w:rPr>
          <w:rFonts w:ascii="標楷體" w:eastAsia="標楷體" w:cs="標楷體"/>
          <w:sz w:val="32"/>
          <w:szCs w:val="32"/>
          <w:lang w:val="zh-TW"/>
        </w:rPr>
        <w:t>9</w:t>
      </w:r>
      <w:r>
        <w:rPr>
          <w:rFonts w:ascii="標楷體" w:eastAsia="標楷體" w:cs="標楷體" w:hint="eastAsia"/>
          <w:sz w:val="32"/>
          <w:szCs w:val="32"/>
          <w:lang w:val="zh-TW"/>
        </w:rPr>
        <w:t>時</w:t>
      </w:r>
      <w:r>
        <w:rPr>
          <w:rFonts w:ascii="標楷體" w:eastAsia="標楷體" w:cs="標楷體"/>
          <w:sz w:val="32"/>
          <w:szCs w:val="32"/>
          <w:lang w:val="zh-TW"/>
        </w:rPr>
        <w:t>30</w:t>
      </w:r>
      <w:r>
        <w:rPr>
          <w:rFonts w:ascii="標楷體" w:eastAsia="標楷體" w:cs="標楷體" w:hint="eastAsia"/>
          <w:sz w:val="32"/>
          <w:szCs w:val="32"/>
          <w:lang w:val="zh-TW"/>
        </w:rPr>
        <w:t>分</w:t>
      </w:r>
    </w:p>
    <w:p w:rsidR="00F37984" w:rsidRPr="00E134A3" w:rsidRDefault="00F37984" w:rsidP="00F37984">
      <w:pPr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  <w:r w:rsidRPr="00E134A3">
        <w:rPr>
          <w:rFonts w:ascii="標楷體" w:eastAsia="標楷體" w:hint="eastAsia"/>
          <w:b/>
          <w:bCs/>
          <w:sz w:val="32"/>
          <w:szCs w:val="32"/>
        </w:rPr>
        <w:t>開會地點</w:t>
      </w:r>
      <w:r w:rsidRPr="00E134A3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cs="標楷體" w:hint="eastAsia"/>
          <w:sz w:val="32"/>
          <w:szCs w:val="32"/>
          <w:lang w:val="zh-TW"/>
        </w:rPr>
        <w:t>本院貴賓室</w:t>
      </w:r>
    </w:p>
    <w:p w:rsidR="00F37984" w:rsidRPr="00E134A3" w:rsidRDefault="00F37984" w:rsidP="00F37984">
      <w:pPr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  <w:r w:rsidRPr="00E134A3">
        <w:rPr>
          <w:rFonts w:ascii="標楷體" w:eastAsia="標楷體" w:hint="eastAsia"/>
          <w:b/>
          <w:bCs/>
          <w:sz w:val="32"/>
          <w:szCs w:val="32"/>
        </w:rPr>
        <w:t>主    席</w:t>
      </w:r>
      <w:r w:rsidRPr="00E134A3">
        <w:rPr>
          <w:rFonts w:ascii="標楷體" w:eastAsia="標楷體" w:hAnsi="標楷體" w:hint="eastAsia"/>
          <w:sz w:val="32"/>
          <w:szCs w:val="32"/>
        </w:rPr>
        <w:t>：陳簡任秘書星宏　          記    錄：黃建隆</w:t>
      </w:r>
    </w:p>
    <w:p w:rsidR="00F37984" w:rsidRPr="00B90A4B" w:rsidRDefault="00F37984" w:rsidP="00F37984">
      <w:pPr>
        <w:snapToGrid w:val="0"/>
        <w:spacing w:line="440" w:lineRule="exact"/>
        <w:contextualSpacing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int="eastAsia"/>
          <w:b/>
          <w:bCs/>
          <w:sz w:val="32"/>
        </w:rPr>
        <w:t>主</w:t>
      </w:r>
      <w:r w:rsidRPr="00053FE6">
        <w:rPr>
          <w:rFonts w:ascii="標楷體" w:eastAsia="標楷體" w:hint="eastAsia"/>
          <w:b/>
          <w:bCs/>
          <w:sz w:val="32"/>
        </w:rPr>
        <w:t>席</w:t>
      </w:r>
      <w:r>
        <w:rPr>
          <w:rFonts w:ascii="標楷體" w:eastAsia="標楷體" w:hint="eastAsia"/>
          <w:b/>
          <w:bCs/>
          <w:sz w:val="32"/>
        </w:rPr>
        <w:t>致詞</w:t>
      </w:r>
      <w:r w:rsidRPr="00B90A4B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/>
          <w:sz w:val="32"/>
        </w:rPr>
        <w:t>(</w:t>
      </w:r>
      <w:r>
        <w:rPr>
          <w:rFonts w:ascii="標楷體" w:eastAsia="標楷體" w:hint="eastAsia"/>
          <w:sz w:val="32"/>
        </w:rPr>
        <w:t>略</w:t>
      </w:r>
      <w:r>
        <w:rPr>
          <w:rFonts w:ascii="標楷體" w:eastAsia="標楷體"/>
          <w:sz w:val="32"/>
        </w:rPr>
        <w:t>)</w:t>
      </w:r>
    </w:p>
    <w:p w:rsidR="00F37984" w:rsidRPr="00E134A3" w:rsidRDefault="00F37984" w:rsidP="00F37984">
      <w:pPr>
        <w:snapToGrid w:val="0"/>
        <w:spacing w:line="440" w:lineRule="exact"/>
        <w:ind w:rightChars="-59" w:right="-142"/>
        <w:rPr>
          <w:rFonts w:ascii="標楷體" w:eastAsia="標楷體"/>
          <w:sz w:val="32"/>
          <w:szCs w:val="32"/>
        </w:rPr>
      </w:pPr>
      <w:r w:rsidRPr="00053FE6">
        <w:rPr>
          <w:rFonts w:ascii="標楷體" w:eastAsia="標楷體" w:hint="eastAsia"/>
          <w:b/>
          <w:bCs/>
          <w:sz w:val="32"/>
        </w:rPr>
        <w:t>出席</w:t>
      </w:r>
      <w:r>
        <w:rPr>
          <w:rFonts w:ascii="標楷體" w:eastAsia="標楷體" w:hint="eastAsia"/>
          <w:b/>
          <w:bCs/>
          <w:sz w:val="32"/>
        </w:rPr>
        <w:t>人員</w:t>
      </w:r>
      <w:r w:rsidRPr="00B90A4B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/>
          <w:sz w:val="32"/>
        </w:rPr>
        <w:t>(</w:t>
      </w:r>
      <w:r>
        <w:rPr>
          <w:rFonts w:ascii="標楷體" w:eastAsia="標楷體" w:hint="eastAsia"/>
          <w:sz w:val="32"/>
        </w:rPr>
        <w:t>略</w:t>
      </w:r>
      <w:r>
        <w:rPr>
          <w:rFonts w:ascii="標楷體" w:eastAsia="標楷體"/>
          <w:sz w:val="32"/>
        </w:rPr>
        <w:t>)</w:t>
      </w:r>
    </w:p>
    <w:p w:rsidR="00F37984" w:rsidRDefault="00F37984" w:rsidP="00F37984">
      <w:pPr>
        <w:tabs>
          <w:tab w:val="left" w:pos="808"/>
        </w:tabs>
        <w:spacing w:line="440" w:lineRule="exact"/>
        <w:ind w:left="4"/>
        <w:jc w:val="both"/>
        <w:rPr>
          <w:rFonts w:ascii="標楷體" w:eastAsia="標楷體" w:hAnsi="標楷體"/>
          <w:b/>
          <w:sz w:val="32"/>
          <w:szCs w:val="32"/>
        </w:rPr>
      </w:pPr>
      <w:r w:rsidRPr="00CA5267">
        <w:rPr>
          <w:rFonts w:ascii="標楷體" w:eastAsia="標楷體" w:hint="eastAsia"/>
          <w:b/>
          <w:bCs/>
          <w:sz w:val="32"/>
          <w:szCs w:val="32"/>
        </w:rPr>
        <w:t>會議結論：</w:t>
      </w:r>
      <w:r w:rsidRPr="00C76852">
        <w:rPr>
          <w:rFonts w:ascii="標楷體" w:eastAsia="標楷體" w:hAnsi="標楷體" w:hint="eastAsia"/>
          <w:spacing w:val="-16"/>
          <w:kern w:val="32"/>
          <w:sz w:val="32"/>
          <w:szCs w:val="32"/>
        </w:rPr>
        <w:t>本次會議經與會人員充分表示意見後，獲致結論如次：</w:t>
      </w:r>
    </w:p>
    <w:p w:rsidR="00F37984" w:rsidRDefault="00F37984" w:rsidP="00F37984">
      <w:pPr>
        <w:numPr>
          <w:ilvl w:val="0"/>
          <w:numId w:val="3"/>
        </w:numPr>
        <w:tabs>
          <w:tab w:val="left" w:pos="808"/>
        </w:tabs>
        <w:adjustRightInd w:val="0"/>
        <w:spacing w:line="440" w:lineRule="exact"/>
        <w:ind w:left="814" w:hanging="808"/>
        <w:jc w:val="both"/>
        <w:textAlignment w:val="baseline"/>
        <w:rPr>
          <w:rFonts w:ascii="標楷體" w:eastAsia="標楷體" w:hAnsi="標楷體" w:cs="新細明體"/>
          <w:color w:val="000000"/>
          <w:sz w:val="32"/>
          <w:szCs w:val="32"/>
        </w:rPr>
      </w:pPr>
      <w:r w:rsidRPr="0084317A">
        <w:rPr>
          <w:rFonts w:ascii="標楷體" w:eastAsia="標楷體" w:hAnsi="標楷體" w:cs="新細明體" w:hint="eastAsia"/>
          <w:color w:val="000000"/>
          <w:sz w:val="32"/>
          <w:szCs w:val="32"/>
        </w:rPr>
        <w:t>為使網路交易之消費者保護規範可以與國際接軌，請主管機關經濟部再</w:t>
      </w:r>
      <w:r>
        <w:rPr>
          <w:rFonts w:ascii="標楷體" w:eastAsia="標楷體" w:hAnsi="標楷體" w:cs="新細明體" w:hint="eastAsia"/>
          <w:color w:val="000000"/>
          <w:sz w:val="32"/>
          <w:szCs w:val="32"/>
        </w:rPr>
        <w:t>就</w:t>
      </w:r>
      <w:r w:rsidRPr="0084317A">
        <w:rPr>
          <w:rFonts w:ascii="標楷體" w:eastAsia="標楷體" w:hAnsi="標楷體" w:cs="新細明體" w:hint="eastAsia"/>
          <w:color w:val="000000"/>
          <w:sz w:val="32"/>
          <w:szCs w:val="32"/>
        </w:rPr>
        <w:t>修正條文第5點酌作調整，修正方向如下：</w:t>
      </w:r>
    </w:p>
    <w:p w:rsidR="00F37984" w:rsidRDefault="00F37984" w:rsidP="00F37984">
      <w:pPr>
        <w:numPr>
          <w:ilvl w:val="0"/>
          <w:numId w:val="2"/>
        </w:numPr>
        <w:tabs>
          <w:tab w:val="left" w:pos="808"/>
        </w:tabs>
        <w:adjustRightInd w:val="0"/>
        <w:spacing w:line="440" w:lineRule="exact"/>
        <w:jc w:val="both"/>
        <w:textAlignment w:val="baseline"/>
        <w:rPr>
          <w:rFonts w:ascii="標楷體" w:eastAsia="標楷體" w:hAnsi="標楷體" w:cs="新細明體"/>
          <w:color w:val="000000"/>
          <w:sz w:val="32"/>
          <w:szCs w:val="32"/>
        </w:rPr>
      </w:pPr>
      <w:r w:rsidRPr="0084317A">
        <w:rPr>
          <w:rFonts w:ascii="標楷體" w:eastAsia="標楷體" w:hAnsi="標楷體" w:cs="新細明體" w:hint="eastAsia"/>
          <w:color w:val="000000"/>
          <w:sz w:val="32"/>
          <w:szCs w:val="32"/>
        </w:rPr>
        <w:t>第1項，「消費者依據企業經營者所提供之商品數量及價格進行訂購」，</w:t>
      </w:r>
      <w:r>
        <w:rPr>
          <w:rFonts w:ascii="標楷體" w:eastAsia="標楷體" w:hAnsi="標楷體" w:cs="新細明體" w:hint="eastAsia"/>
          <w:color w:val="000000"/>
          <w:sz w:val="32"/>
          <w:szCs w:val="32"/>
        </w:rPr>
        <w:t>規範內容</w:t>
      </w:r>
      <w:r w:rsidRPr="0084317A">
        <w:rPr>
          <w:rFonts w:ascii="標楷體" w:eastAsia="標楷體" w:hAnsi="標楷體" w:cs="新細明體" w:hint="eastAsia"/>
          <w:color w:val="000000"/>
          <w:sz w:val="32"/>
          <w:szCs w:val="32"/>
        </w:rPr>
        <w:t>參考實務作法進行調整。</w:t>
      </w:r>
    </w:p>
    <w:p w:rsidR="00F37984" w:rsidRPr="0084317A" w:rsidRDefault="00F37984" w:rsidP="00F37984">
      <w:pPr>
        <w:numPr>
          <w:ilvl w:val="0"/>
          <w:numId w:val="2"/>
        </w:numPr>
        <w:tabs>
          <w:tab w:val="left" w:pos="808"/>
        </w:tabs>
        <w:adjustRightInd w:val="0"/>
        <w:spacing w:line="440" w:lineRule="exact"/>
        <w:jc w:val="both"/>
        <w:textAlignment w:val="baseline"/>
        <w:rPr>
          <w:rFonts w:ascii="標楷體" w:eastAsia="標楷體" w:hAnsi="標楷體" w:cs="新細明體"/>
          <w:color w:val="000000"/>
          <w:sz w:val="32"/>
          <w:szCs w:val="32"/>
        </w:rPr>
      </w:pPr>
      <w:r w:rsidRPr="0084317A">
        <w:rPr>
          <w:rFonts w:ascii="標楷體" w:eastAsia="標楷體" w:hAnsi="標楷體" w:cs="新細明體" w:hint="eastAsia"/>
          <w:color w:val="000000"/>
          <w:sz w:val="32"/>
          <w:szCs w:val="32"/>
        </w:rPr>
        <w:t>第2項，「企業經營者對於前項消費者按程序所提交之訂單，應向消費者進行『通知』。該『通知』內容包含消費者所訂購的商品名稱、總價格、內容、規格、型號與預定出貨期程及其他。」同時在</w:t>
      </w:r>
      <w:r>
        <w:rPr>
          <w:rFonts w:ascii="標楷體" w:eastAsia="標楷體" w:hAnsi="標楷體" w:cs="新細明體" w:hint="eastAsia"/>
          <w:color w:val="000000"/>
          <w:sz w:val="32"/>
          <w:szCs w:val="32"/>
        </w:rPr>
        <w:t>「</w:t>
      </w:r>
      <w:r w:rsidRPr="0084317A">
        <w:rPr>
          <w:rFonts w:ascii="標楷體" w:eastAsia="標楷體" w:hAnsi="標楷體" w:cs="新細明體" w:hint="eastAsia"/>
          <w:color w:val="000000"/>
          <w:sz w:val="32"/>
          <w:szCs w:val="32"/>
        </w:rPr>
        <w:t>說明欄</w:t>
      </w:r>
      <w:r>
        <w:rPr>
          <w:rFonts w:ascii="標楷體" w:eastAsia="標楷體" w:hAnsi="標楷體" w:cs="新細明體" w:hint="eastAsia"/>
          <w:color w:val="000000"/>
          <w:sz w:val="32"/>
          <w:szCs w:val="32"/>
        </w:rPr>
        <w:t>」</w:t>
      </w:r>
      <w:r w:rsidRPr="0084317A">
        <w:rPr>
          <w:rFonts w:ascii="標楷體" w:eastAsia="標楷體" w:hAnsi="標楷體" w:cs="新細明體" w:hint="eastAsia"/>
          <w:color w:val="000000"/>
          <w:sz w:val="32"/>
          <w:szCs w:val="32"/>
        </w:rPr>
        <w:t>中說明預購和代購商品，在消費者下單時應標明之出貨期程。</w:t>
      </w:r>
    </w:p>
    <w:p w:rsidR="00F37984" w:rsidRPr="0084317A" w:rsidRDefault="00F37984" w:rsidP="00F37984">
      <w:pPr>
        <w:numPr>
          <w:ilvl w:val="0"/>
          <w:numId w:val="2"/>
        </w:numPr>
        <w:tabs>
          <w:tab w:val="left" w:pos="808"/>
        </w:tabs>
        <w:adjustRightInd w:val="0"/>
        <w:spacing w:line="440" w:lineRule="exact"/>
        <w:jc w:val="both"/>
        <w:textAlignment w:val="baseline"/>
        <w:rPr>
          <w:rFonts w:ascii="標楷體" w:eastAsia="標楷體" w:hAnsi="標楷體" w:cs="新細明體"/>
          <w:color w:val="000000"/>
          <w:sz w:val="32"/>
          <w:szCs w:val="32"/>
        </w:rPr>
      </w:pPr>
      <w:r w:rsidRPr="0084317A">
        <w:rPr>
          <w:rFonts w:ascii="標楷體" w:eastAsia="標楷體" w:hAnsi="標楷體" w:cs="新細明體" w:hint="eastAsia"/>
          <w:color w:val="000000"/>
          <w:sz w:val="32"/>
          <w:szCs w:val="32"/>
        </w:rPr>
        <w:t>增訂第3項，內容包括消費者對於</w:t>
      </w:r>
      <w:r>
        <w:rPr>
          <w:rFonts w:ascii="標楷體" w:eastAsia="標楷體" w:hAnsi="標楷體" w:cs="新細明體" w:hint="eastAsia"/>
          <w:color w:val="000000"/>
          <w:sz w:val="32"/>
          <w:szCs w:val="32"/>
        </w:rPr>
        <w:t>通知</w:t>
      </w:r>
      <w:r w:rsidRPr="0084317A">
        <w:rPr>
          <w:rFonts w:ascii="標楷體" w:eastAsia="標楷體" w:hAnsi="標楷體" w:cs="新細明體" w:hint="eastAsia"/>
          <w:color w:val="000000"/>
          <w:sz w:val="32"/>
          <w:szCs w:val="32"/>
        </w:rPr>
        <w:t>預定出貨期程不滿意可以取消訂單及</w:t>
      </w:r>
      <w:r>
        <w:rPr>
          <w:rFonts w:ascii="標楷體" w:eastAsia="標楷體" w:hAnsi="標楷體" w:cs="新細明體" w:hint="eastAsia"/>
          <w:color w:val="000000"/>
          <w:sz w:val="32"/>
          <w:szCs w:val="32"/>
        </w:rPr>
        <w:t>規範</w:t>
      </w:r>
      <w:r w:rsidRPr="0084317A">
        <w:rPr>
          <w:rFonts w:ascii="標楷體" w:eastAsia="標楷體" w:hAnsi="標楷體" w:cs="新細明體" w:hint="eastAsia"/>
          <w:color w:val="000000"/>
          <w:sz w:val="32"/>
          <w:szCs w:val="32"/>
        </w:rPr>
        <w:t>第2項「通知」之效果。</w:t>
      </w:r>
    </w:p>
    <w:p w:rsidR="00F37984" w:rsidRDefault="00F37984" w:rsidP="00F37984">
      <w:pPr>
        <w:numPr>
          <w:ilvl w:val="0"/>
          <w:numId w:val="3"/>
        </w:numPr>
        <w:tabs>
          <w:tab w:val="left" w:pos="808"/>
        </w:tabs>
        <w:adjustRightInd w:val="0"/>
        <w:spacing w:line="440" w:lineRule="exact"/>
        <w:ind w:left="814" w:hanging="808"/>
        <w:jc w:val="both"/>
        <w:textAlignment w:val="baseline"/>
        <w:rPr>
          <w:rFonts w:ascii="標楷體" w:eastAsia="標楷體" w:hAnsi="標楷體" w:cs="新細明體"/>
          <w:b/>
          <w:color w:val="000000"/>
          <w:sz w:val="32"/>
          <w:szCs w:val="32"/>
        </w:rPr>
      </w:pPr>
      <w:r w:rsidRPr="00255A30">
        <w:rPr>
          <w:rFonts w:ascii="標楷體" w:eastAsia="標楷體" w:hAnsi="標楷體" w:hint="eastAsia"/>
          <w:sz w:val="32"/>
          <w:szCs w:val="32"/>
        </w:rPr>
        <w:t>請</w:t>
      </w:r>
      <w:r w:rsidRPr="0084317A">
        <w:rPr>
          <w:rFonts w:ascii="標楷體" w:eastAsia="標楷體" w:hAnsi="標楷體" w:cs="新細明體" w:hint="eastAsia"/>
          <w:color w:val="000000"/>
          <w:sz w:val="32"/>
          <w:szCs w:val="32"/>
        </w:rPr>
        <w:t>經濟部</w:t>
      </w:r>
      <w:r w:rsidRPr="00255A30">
        <w:rPr>
          <w:rFonts w:ascii="標楷體" w:eastAsia="標楷體" w:hAnsi="標楷體" w:hint="eastAsia"/>
          <w:sz w:val="32"/>
          <w:szCs w:val="32"/>
        </w:rPr>
        <w:t>儘速依上揭結論，進行本案之相關修正</w:t>
      </w:r>
      <w:r>
        <w:rPr>
          <w:rFonts w:ascii="標楷體" w:eastAsia="標楷體" w:hAnsi="標楷體" w:hint="eastAsia"/>
          <w:sz w:val="32"/>
          <w:szCs w:val="32"/>
        </w:rPr>
        <w:t>後</w:t>
      </w:r>
      <w:r w:rsidRPr="00255A30">
        <w:rPr>
          <w:rFonts w:ascii="標楷體" w:eastAsia="標楷體" w:hAnsi="標楷體" w:hint="eastAsia"/>
          <w:sz w:val="32"/>
          <w:szCs w:val="32"/>
        </w:rPr>
        <w:t>，提報本</w:t>
      </w:r>
      <w:r>
        <w:rPr>
          <w:rFonts w:ascii="標楷體" w:eastAsia="標楷體" w:hAnsi="標楷體" w:hint="eastAsia"/>
          <w:sz w:val="32"/>
          <w:szCs w:val="32"/>
        </w:rPr>
        <w:t>處續審</w:t>
      </w:r>
      <w:r w:rsidRPr="003D4BE8">
        <w:rPr>
          <w:rFonts w:ascii="標楷體" w:eastAsia="標楷體" w:hAnsi="標楷體" w:hint="eastAsia"/>
          <w:sz w:val="32"/>
          <w:szCs w:val="32"/>
        </w:rPr>
        <w:t>。</w:t>
      </w:r>
    </w:p>
    <w:p w:rsidR="00F37984" w:rsidRPr="00497B7B" w:rsidRDefault="00F37984" w:rsidP="00F37984">
      <w:pPr>
        <w:tabs>
          <w:tab w:val="left" w:pos="808"/>
        </w:tabs>
        <w:spacing w:line="560" w:lineRule="exact"/>
        <w:jc w:val="both"/>
        <w:rPr>
          <w:rFonts w:ascii="標楷體" w:eastAsia="標楷體" w:hAnsi="標楷體"/>
          <w:sz w:val="32"/>
          <w:szCs w:val="32"/>
        </w:rPr>
      </w:pPr>
    </w:p>
    <w:p w:rsidR="00F37984" w:rsidRDefault="00F37984" w:rsidP="00F37984">
      <w:r w:rsidRPr="00157D31">
        <w:rPr>
          <w:rFonts w:ascii="標楷體" w:eastAsia="標楷體" w:hint="eastAsia"/>
          <w:b/>
          <w:color w:val="000000"/>
          <w:spacing w:val="20"/>
          <w:sz w:val="32"/>
          <w:szCs w:val="32"/>
        </w:rPr>
        <w:t>散會</w:t>
      </w:r>
      <w:r w:rsidRPr="00157D31">
        <w:rPr>
          <w:rFonts w:ascii="標楷體" w:eastAsia="標楷體" w:hint="eastAsia"/>
          <w:color w:val="000000"/>
          <w:spacing w:val="20"/>
          <w:sz w:val="32"/>
          <w:szCs w:val="32"/>
        </w:rPr>
        <w:t>：</w:t>
      </w:r>
      <w:r>
        <w:rPr>
          <w:rFonts w:ascii="標楷體" w:eastAsia="標楷體" w:hint="eastAsia"/>
          <w:color w:val="000000"/>
          <w:spacing w:val="20"/>
          <w:sz w:val="32"/>
          <w:szCs w:val="32"/>
        </w:rPr>
        <w:t>上</w:t>
      </w:r>
      <w:r w:rsidRPr="00157D31">
        <w:rPr>
          <w:rFonts w:ascii="標楷體" w:eastAsia="標楷體" w:hint="eastAsia"/>
          <w:color w:val="000000"/>
          <w:spacing w:val="20"/>
          <w:sz w:val="32"/>
          <w:szCs w:val="32"/>
        </w:rPr>
        <w:t>午</w:t>
      </w:r>
      <w:r>
        <w:rPr>
          <w:rFonts w:ascii="標楷體" w:eastAsia="標楷體" w:hint="eastAsia"/>
          <w:color w:val="000000"/>
          <w:spacing w:val="20"/>
          <w:sz w:val="32"/>
          <w:szCs w:val="32"/>
        </w:rPr>
        <w:t>11</w:t>
      </w:r>
      <w:r w:rsidRPr="00157D31">
        <w:rPr>
          <w:rFonts w:ascii="標楷體" w:eastAsia="標楷體" w:hint="eastAsia"/>
          <w:color w:val="000000"/>
          <w:spacing w:val="20"/>
          <w:sz w:val="32"/>
          <w:szCs w:val="32"/>
        </w:rPr>
        <w:t>時</w:t>
      </w:r>
      <w:r>
        <w:rPr>
          <w:rFonts w:ascii="標楷體" w:eastAsia="標楷體" w:hint="eastAsia"/>
          <w:color w:val="000000"/>
          <w:spacing w:val="20"/>
          <w:sz w:val="32"/>
          <w:szCs w:val="32"/>
        </w:rPr>
        <w:t>30</w:t>
      </w:r>
      <w:r w:rsidRPr="00157D31">
        <w:rPr>
          <w:rFonts w:ascii="標楷體" w:eastAsia="標楷體" w:hint="eastAsia"/>
          <w:color w:val="000000"/>
          <w:spacing w:val="20"/>
          <w:sz w:val="32"/>
          <w:szCs w:val="32"/>
        </w:rPr>
        <w:t>分。</w:t>
      </w:r>
    </w:p>
    <w:p w:rsidR="00F37984" w:rsidRPr="00F37984" w:rsidRDefault="00F37984"/>
    <w:sectPr w:rsidR="00F37984" w:rsidRPr="00F37984" w:rsidSect="00B336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15D" w:rsidRDefault="00CD515D" w:rsidP="00847DEE">
      <w:r>
        <w:separator/>
      </w:r>
    </w:p>
  </w:endnote>
  <w:endnote w:type="continuationSeparator" w:id="0">
    <w:p w:rsidR="00CD515D" w:rsidRDefault="00CD515D" w:rsidP="00847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15D" w:rsidRDefault="00CD515D" w:rsidP="00847DEE">
      <w:r>
        <w:separator/>
      </w:r>
    </w:p>
  </w:footnote>
  <w:footnote w:type="continuationSeparator" w:id="0">
    <w:p w:rsidR="00CD515D" w:rsidRDefault="00CD515D" w:rsidP="00847D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63029"/>
    <w:multiLevelType w:val="hybridMultilevel"/>
    <w:tmpl w:val="37A2C2A2"/>
    <w:lvl w:ilvl="0" w:tplc="FE8E37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4346759"/>
    <w:multiLevelType w:val="hybridMultilevel"/>
    <w:tmpl w:val="6B32FD68"/>
    <w:lvl w:ilvl="0" w:tplc="1728CB72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08547A4"/>
    <w:multiLevelType w:val="hybridMultilevel"/>
    <w:tmpl w:val="C99ABFFA"/>
    <w:lvl w:ilvl="0" w:tplc="A94EA176">
      <w:start w:val="1"/>
      <w:numFmt w:val="taiwaneseCountingThousand"/>
      <w:lvlText w:val="%1、"/>
      <w:lvlJc w:val="left"/>
      <w:pPr>
        <w:ind w:left="724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4" w:hanging="480"/>
      </w:pPr>
    </w:lvl>
    <w:lvl w:ilvl="2" w:tplc="0409001B" w:tentative="1">
      <w:start w:val="1"/>
      <w:numFmt w:val="lowerRoman"/>
      <w:lvlText w:val="%3."/>
      <w:lvlJc w:val="right"/>
      <w:pPr>
        <w:ind w:left="1444" w:hanging="480"/>
      </w:pPr>
    </w:lvl>
    <w:lvl w:ilvl="3" w:tplc="0409000F" w:tentative="1">
      <w:start w:val="1"/>
      <w:numFmt w:val="decimal"/>
      <w:lvlText w:val="%4."/>
      <w:lvlJc w:val="left"/>
      <w:pPr>
        <w:ind w:left="1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4" w:hanging="480"/>
      </w:pPr>
    </w:lvl>
    <w:lvl w:ilvl="5" w:tplc="0409001B" w:tentative="1">
      <w:start w:val="1"/>
      <w:numFmt w:val="lowerRoman"/>
      <w:lvlText w:val="%6."/>
      <w:lvlJc w:val="right"/>
      <w:pPr>
        <w:ind w:left="2884" w:hanging="480"/>
      </w:pPr>
    </w:lvl>
    <w:lvl w:ilvl="6" w:tplc="0409000F" w:tentative="1">
      <w:start w:val="1"/>
      <w:numFmt w:val="decimal"/>
      <w:lvlText w:val="%7."/>
      <w:lvlJc w:val="left"/>
      <w:pPr>
        <w:ind w:left="3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4" w:hanging="480"/>
      </w:pPr>
    </w:lvl>
    <w:lvl w:ilvl="8" w:tplc="0409001B" w:tentative="1">
      <w:start w:val="1"/>
      <w:numFmt w:val="lowerRoman"/>
      <w:lvlText w:val="%9."/>
      <w:lvlJc w:val="right"/>
      <w:pPr>
        <w:ind w:left="4324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984"/>
    <w:rsid w:val="00107631"/>
    <w:rsid w:val="0015468E"/>
    <w:rsid w:val="0019693C"/>
    <w:rsid w:val="002F4F8F"/>
    <w:rsid w:val="00847DEE"/>
    <w:rsid w:val="00B33697"/>
    <w:rsid w:val="00C446EC"/>
    <w:rsid w:val="00CD515D"/>
    <w:rsid w:val="00D1591C"/>
    <w:rsid w:val="00DB086F"/>
    <w:rsid w:val="00E56EE8"/>
    <w:rsid w:val="00F37984"/>
    <w:rsid w:val="00F51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8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7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47DE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47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47DE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103015"/>
      </a:dk1>
      <a:lt1>
        <a:sysClr val="window" lastClr="DFF4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</cp:revision>
  <dcterms:created xsi:type="dcterms:W3CDTF">2015-10-01T02:49:00Z</dcterms:created>
  <dcterms:modified xsi:type="dcterms:W3CDTF">2015-10-02T02:43:00Z</dcterms:modified>
</cp:coreProperties>
</file>