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AB" w:rsidRPr="00D83D82" w:rsidRDefault="00160356" w:rsidP="00BD081B">
      <w:pPr>
        <w:jc w:val="center"/>
        <w:rPr>
          <w:rFonts w:eastAsia="標楷體"/>
          <w:sz w:val="28"/>
          <w:szCs w:val="28"/>
        </w:rPr>
      </w:pPr>
      <w:r w:rsidRPr="00D83D82">
        <w:rPr>
          <w:rFonts w:eastAsia="標楷體" w:hint="eastAsia"/>
          <w:sz w:val="28"/>
          <w:szCs w:val="28"/>
        </w:rPr>
        <w:t>「</w:t>
      </w:r>
      <w:r w:rsidR="0068408B" w:rsidRPr="00D83D82">
        <w:rPr>
          <w:rFonts w:eastAsia="標楷體" w:hint="eastAsia"/>
          <w:sz w:val="28"/>
          <w:szCs w:val="28"/>
        </w:rPr>
        <w:t>第三方支付</w:t>
      </w:r>
      <w:r w:rsidR="00480F3D" w:rsidRPr="00D83D82">
        <w:rPr>
          <w:rFonts w:eastAsia="標楷體" w:hint="eastAsia"/>
          <w:sz w:val="28"/>
          <w:szCs w:val="28"/>
        </w:rPr>
        <w:t>機構防制洗錢注意事項</w:t>
      </w:r>
      <w:r w:rsidRPr="00D83D82">
        <w:rPr>
          <w:rFonts w:eastAsia="標楷體" w:hint="eastAsia"/>
          <w:sz w:val="28"/>
          <w:szCs w:val="28"/>
        </w:rPr>
        <w:t>」</w:t>
      </w:r>
      <w:r w:rsidR="00BD081B" w:rsidRPr="00D83D82">
        <w:rPr>
          <w:rFonts w:eastAsia="標楷體" w:hint="eastAsia"/>
          <w:sz w:val="28"/>
          <w:szCs w:val="28"/>
        </w:rPr>
        <w:t>草案</w:t>
      </w:r>
      <w:r w:rsidR="00DF35AB" w:rsidRPr="00D83D82">
        <w:rPr>
          <w:rFonts w:eastAsia="標楷體" w:hint="eastAsia"/>
          <w:sz w:val="28"/>
          <w:szCs w:val="28"/>
        </w:rPr>
        <w:t>（</w:t>
      </w:r>
      <w:r w:rsidR="001502A3" w:rsidRPr="00D83D82">
        <w:rPr>
          <w:rFonts w:eastAsia="標楷體" w:hint="eastAsia"/>
          <w:sz w:val="28"/>
          <w:szCs w:val="28"/>
        </w:rPr>
        <w:t>公會版</w:t>
      </w:r>
      <w:r w:rsidR="00DF35AB" w:rsidRPr="00D83D82">
        <w:rPr>
          <w:rFonts w:eastAsia="標楷體" w:hint="eastAsia"/>
          <w:sz w:val="28"/>
          <w:szCs w:val="28"/>
        </w:rPr>
        <w:t>）</w:t>
      </w:r>
    </w:p>
    <w:p w:rsidR="00480F3D" w:rsidRPr="00DF35AB" w:rsidRDefault="00BD081B" w:rsidP="0077711C">
      <w:pPr>
        <w:spacing w:beforeLines="50" w:before="180" w:afterLines="100" w:after="360"/>
        <w:jc w:val="right"/>
        <w:rPr>
          <w:rFonts w:eastAsia="標楷體"/>
        </w:rPr>
      </w:pPr>
      <w:r w:rsidRPr="00DF35AB">
        <w:rPr>
          <w:rFonts w:eastAsia="標楷體" w:hint="eastAsia"/>
        </w:rPr>
        <w:t>2014.0</w:t>
      </w:r>
      <w:r w:rsidR="00F5301B" w:rsidRPr="00DF35AB">
        <w:rPr>
          <w:rFonts w:eastAsia="標楷體" w:hint="eastAsia"/>
        </w:rPr>
        <w:t>8</w:t>
      </w:r>
      <w:r w:rsidRPr="00DF35AB">
        <w:rPr>
          <w:rFonts w:eastAsia="標楷體" w:hint="eastAsia"/>
        </w:rPr>
        <w:t>.</w:t>
      </w:r>
      <w:r w:rsidR="00F5301B" w:rsidRPr="00DF35AB">
        <w:rPr>
          <w:rFonts w:eastAsia="標楷體" w:hint="eastAsia"/>
        </w:rPr>
        <w:t>2</w:t>
      </w:r>
      <w:r w:rsidR="00281900">
        <w:rPr>
          <w:rFonts w:eastAsia="標楷體" w:hint="eastAsia"/>
        </w:rPr>
        <w:t>6</w:t>
      </w:r>
    </w:p>
    <w:p w:rsidR="005F1EFD" w:rsidRPr="00DF35AB" w:rsidRDefault="00160356" w:rsidP="005F1EFD">
      <w:pPr>
        <w:numPr>
          <w:ilvl w:val="0"/>
          <w:numId w:val="2"/>
        </w:numPr>
        <w:rPr>
          <w:rFonts w:eastAsia="標楷體"/>
        </w:rPr>
      </w:pPr>
      <w:r w:rsidRPr="00DF35AB">
        <w:rPr>
          <w:rFonts w:eastAsia="標楷體" w:hint="eastAsia"/>
        </w:rPr>
        <w:t>本注意事項依「洗錢防制法」第六條</w:t>
      </w:r>
      <w:r w:rsidR="005F1EFD" w:rsidRPr="00DF35AB">
        <w:rPr>
          <w:rFonts w:eastAsia="標楷體" w:hint="eastAsia"/>
        </w:rPr>
        <w:t>規定訂之</w:t>
      </w:r>
      <w:r w:rsidRPr="00DF35AB">
        <w:rPr>
          <w:rFonts w:eastAsia="標楷體" w:hint="eastAsia"/>
        </w:rPr>
        <w:t>，以協助防制洗錢為目的</w:t>
      </w:r>
      <w:r w:rsidR="005F1EFD" w:rsidRPr="00DF35AB">
        <w:rPr>
          <w:rFonts w:eastAsia="標楷體" w:hint="eastAsia"/>
        </w:rPr>
        <w:t>。</w:t>
      </w:r>
    </w:p>
    <w:p w:rsidR="005F1EFD" w:rsidRPr="00DF35AB" w:rsidRDefault="008A13E9" w:rsidP="00F97E1F">
      <w:pPr>
        <w:numPr>
          <w:ilvl w:val="0"/>
          <w:numId w:val="2"/>
        </w:numPr>
        <w:rPr>
          <w:rFonts w:eastAsia="標楷體"/>
        </w:rPr>
      </w:pPr>
      <w:r>
        <w:rPr>
          <w:rFonts w:eastAsia="標楷體" w:hint="eastAsia"/>
        </w:rPr>
        <w:t>第三方</w:t>
      </w:r>
      <w:r w:rsidR="00F97E1F" w:rsidRPr="00F97E1F">
        <w:rPr>
          <w:rFonts w:eastAsia="標楷體" w:hint="eastAsia"/>
        </w:rPr>
        <w:t>支付機構應建立使用者身分認證機制，於使用者註冊或簽約時確認其身分，並留存確認使用者身分程序所得之資料。使用者變更身分資料時，亦同。</w:t>
      </w:r>
    </w:p>
    <w:p w:rsidR="00DF35AB" w:rsidRDefault="00F97E1F" w:rsidP="00F97E1F">
      <w:pPr>
        <w:numPr>
          <w:ilvl w:val="0"/>
          <w:numId w:val="2"/>
        </w:numPr>
        <w:rPr>
          <w:rFonts w:eastAsia="標楷體"/>
        </w:rPr>
      </w:pPr>
      <w:r w:rsidRPr="00F97E1F">
        <w:rPr>
          <w:rFonts w:eastAsia="標楷體" w:hint="eastAsia"/>
        </w:rPr>
        <w:t>使用者提領帳戶款項時，</w:t>
      </w:r>
      <w:r w:rsidR="008A13E9">
        <w:rPr>
          <w:rFonts w:eastAsia="標楷體" w:hint="eastAsia"/>
        </w:rPr>
        <w:t>第三方</w:t>
      </w:r>
      <w:r w:rsidRPr="00F97E1F">
        <w:rPr>
          <w:rFonts w:eastAsia="標楷體" w:hint="eastAsia"/>
        </w:rPr>
        <w:t>支付機構應將提領款項轉入使用者本人之銀行相同幣別存款帳戶，不得辦理現金提領。</w:t>
      </w:r>
    </w:p>
    <w:p w:rsidR="00DF35AB" w:rsidRDefault="0098585C" w:rsidP="005F1EFD">
      <w:pPr>
        <w:numPr>
          <w:ilvl w:val="0"/>
          <w:numId w:val="2"/>
        </w:numPr>
        <w:rPr>
          <w:rFonts w:eastAsia="標楷體"/>
        </w:rPr>
      </w:pPr>
      <w:r w:rsidRPr="00DF35AB">
        <w:rPr>
          <w:rFonts w:eastAsia="標楷體" w:hint="eastAsia"/>
        </w:rPr>
        <w:t>有關交易如有下述情形之</w:t>
      </w:r>
      <w:proofErr w:type="gramStart"/>
      <w:r w:rsidRPr="00DF35AB">
        <w:rPr>
          <w:rFonts w:eastAsia="標楷體" w:hint="eastAsia"/>
        </w:rPr>
        <w:t>一</w:t>
      </w:r>
      <w:proofErr w:type="gramEnd"/>
      <w:r w:rsidRPr="00DF35AB">
        <w:rPr>
          <w:rFonts w:eastAsia="標楷體" w:hint="eastAsia"/>
        </w:rPr>
        <w:t>者，應特別注意，如認為有疑似洗錢之交易，除應確認客戶身分且留存紀錄外，並應依本注意事項規定程序於十個營業日內向法務部調查局辦理申報</w:t>
      </w:r>
      <w:r>
        <w:rPr>
          <w:rFonts w:eastAsia="標楷體" w:hint="eastAsia"/>
        </w:rPr>
        <w:t>（</w:t>
      </w:r>
      <w:r w:rsidRPr="00DF35AB">
        <w:rPr>
          <w:rFonts w:eastAsia="標楷體" w:hint="eastAsia"/>
        </w:rPr>
        <w:t>其申報範圍除第</w:t>
      </w:r>
      <w:r w:rsidRPr="00DF35AB">
        <w:rPr>
          <w:rFonts w:eastAsia="標楷體" w:hint="eastAsia"/>
        </w:rPr>
        <w:t>1</w:t>
      </w:r>
      <w:r w:rsidRPr="00DF35AB">
        <w:rPr>
          <w:rFonts w:eastAsia="標楷體" w:hint="eastAsia"/>
        </w:rPr>
        <w:t>點外，不限金額大小</w:t>
      </w:r>
      <w:r>
        <w:rPr>
          <w:rFonts w:eastAsia="標楷體" w:hint="eastAsia"/>
        </w:rPr>
        <w:t>）：</w:t>
      </w:r>
    </w:p>
    <w:p w:rsidR="0098585C" w:rsidRPr="000015AD" w:rsidRDefault="000015AD" w:rsidP="000015AD">
      <w:pPr>
        <w:ind w:leftChars="50" w:left="768" w:hangingChars="270" w:hanging="648"/>
        <w:rPr>
          <w:rFonts w:eastAsia="標楷體"/>
        </w:rPr>
      </w:pPr>
      <w:r>
        <w:rPr>
          <w:rFonts w:eastAsia="標楷體" w:hint="eastAsia"/>
        </w:rPr>
        <w:t>(</w:t>
      </w:r>
      <w:r>
        <w:rPr>
          <w:rFonts w:eastAsia="標楷體" w:hint="eastAsia"/>
        </w:rPr>
        <w:t>一</w:t>
      </w:r>
      <w:r>
        <w:rPr>
          <w:rFonts w:eastAsia="標楷體" w:hint="eastAsia"/>
        </w:rPr>
        <w:t>)</w:t>
      </w:r>
      <w:r>
        <w:rPr>
          <w:rFonts w:eastAsia="標楷體" w:hint="eastAsia"/>
        </w:rPr>
        <w:t>、</w:t>
      </w:r>
      <w:r w:rsidR="0098585C" w:rsidRPr="000015AD">
        <w:rPr>
          <w:rFonts w:eastAsia="標楷體" w:hint="eastAsia"/>
        </w:rPr>
        <w:t>同一營業日於其同一使用者帳戶要求提領現金新台幣</w:t>
      </w:r>
      <w:r w:rsidR="00F72C2C">
        <w:rPr>
          <w:rFonts w:eastAsia="標楷體" w:hint="eastAsia"/>
        </w:rPr>
        <w:t>五</w:t>
      </w:r>
      <w:r w:rsidR="0098585C" w:rsidRPr="000015AD">
        <w:rPr>
          <w:rFonts w:eastAsia="標楷體" w:hint="eastAsia"/>
        </w:rPr>
        <w:t>十萬元（含等值</w:t>
      </w:r>
      <w:r>
        <w:rPr>
          <w:rFonts w:eastAsia="標楷體" w:hint="eastAsia"/>
        </w:rPr>
        <w:t xml:space="preserve"> </w:t>
      </w:r>
      <w:r w:rsidR="0098585C" w:rsidRPr="000015AD">
        <w:rPr>
          <w:rFonts w:eastAsia="標楷體" w:hint="eastAsia"/>
        </w:rPr>
        <w:t>外幣）以上之金額者。</w:t>
      </w:r>
    </w:p>
    <w:p w:rsidR="0098585C" w:rsidRPr="000015AD" w:rsidRDefault="000015AD" w:rsidP="000015AD">
      <w:pPr>
        <w:ind w:left="708" w:hangingChars="295" w:hanging="708"/>
        <w:rPr>
          <w:rFonts w:eastAsia="標楷體"/>
        </w:rPr>
      </w:pPr>
      <w:r>
        <w:rPr>
          <w:rFonts w:eastAsia="標楷體" w:hint="eastAsia"/>
        </w:rPr>
        <w:t xml:space="preserve"> (</w:t>
      </w:r>
      <w:r>
        <w:rPr>
          <w:rFonts w:eastAsia="標楷體" w:hint="eastAsia"/>
        </w:rPr>
        <w:t>二</w:t>
      </w:r>
      <w:r>
        <w:rPr>
          <w:rFonts w:eastAsia="標楷體" w:hint="eastAsia"/>
        </w:rPr>
        <w:t>)</w:t>
      </w:r>
      <w:r>
        <w:rPr>
          <w:rFonts w:eastAsia="標楷體" w:hint="eastAsia"/>
        </w:rPr>
        <w:t>、</w:t>
      </w:r>
      <w:r w:rsidR="0098585C" w:rsidRPr="000015AD">
        <w:rPr>
          <w:rFonts w:eastAsia="標楷體" w:hint="eastAsia"/>
        </w:rPr>
        <w:t>使用者帳戶產生密集多筆交易且以大額或分散方式要求提領現金者，且與既存之交易明顯不相當。</w:t>
      </w:r>
    </w:p>
    <w:p w:rsidR="0098585C" w:rsidRPr="000015AD" w:rsidRDefault="000015AD" w:rsidP="000015AD">
      <w:pPr>
        <w:rPr>
          <w:rFonts w:eastAsia="標楷體"/>
        </w:rPr>
      </w:pPr>
      <w:r>
        <w:rPr>
          <w:rFonts w:eastAsia="標楷體" w:hint="eastAsia"/>
        </w:rPr>
        <w:t xml:space="preserve"> (</w:t>
      </w:r>
      <w:r>
        <w:rPr>
          <w:rFonts w:eastAsia="標楷體" w:hint="eastAsia"/>
        </w:rPr>
        <w:t>三</w:t>
      </w:r>
      <w:r>
        <w:rPr>
          <w:rFonts w:eastAsia="標楷體" w:hint="eastAsia"/>
        </w:rPr>
        <w:t>)</w:t>
      </w:r>
      <w:r>
        <w:rPr>
          <w:rFonts w:eastAsia="標楷體" w:hint="eastAsia"/>
        </w:rPr>
        <w:t>、</w:t>
      </w:r>
      <w:r w:rsidR="00281900" w:rsidRPr="00281900">
        <w:rPr>
          <w:rFonts w:eastAsia="標楷體" w:hint="eastAsia"/>
        </w:rPr>
        <w:t>同一使用者經常有略低於必須申報之金額標準要求提領現金的款項。</w:t>
      </w:r>
    </w:p>
    <w:p w:rsidR="0098585C" w:rsidRPr="000015AD" w:rsidRDefault="000015AD" w:rsidP="000015AD">
      <w:pPr>
        <w:ind w:left="708" w:hangingChars="295" w:hanging="708"/>
        <w:rPr>
          <w:rFonts w:eastAsia="標楷體"/>
        </w:rPr>
      </w:pPr>
      <w:r>
        <w:rPr>
          <w:rFonts w:eastAsia="標楷體" w:hint="eastAsia"/>
        </w:rPr>
        <w:t xml:space="preserve"> (</w:t>
      </w:r>
      <w:r>
        <w:rPr>
          <w:rFonts w:eastAsia="標楷體" w:hint="eastAsia"/>
        </w:rPr>
        <w:t>四</w:t>
      </w:r>
      <w:r>
        <w:rPr>
          <w:rFonts w:eastAsia="標楷體" w:hint="eastAsia"/>
        </w:rPr>
        <w:t>)</w:t>
      </w:r>
      <w:r>
        <w:rPr>
          <w:rFonts w:eastAsia="標楷體" w:hint="eastAsia"/>
        </w:rPr>
        <w:t>、</w:t>
      </w:r>
      <w:r w:rsidR="0098585C" w:rsidRPr="000015AD">
        <w:rPr>
          <w:rFonts w:eastAsia="標楷體" w:hint="eastAsia"/>
        </w:rPr>
        <w:t>使用者帳戶係以恐怖份子、團體、國際洗錢防制組織認定或追查之恐怖組織名義申請註冊，應列為疑似洗錢之交易，即須向法務部調查局申報並副知金融監督管理委員會（恐怖份子、團體或組織請參考金融監督管理委員會函轉之美國在台協會</w:t>
      </w:r>
      <w:r w:rsidR="0098585C" w:rsidRPr="000015AD">
        <w:rPr>
          <w:rFonts w:eastAsia="標楷體" w:hint="eastAsia"/>
        </w:rPr>
        <w:t>AIT</w:t>
      </w:r>
      <w:r w:rsidR="0098585C" w:rsidRPr="000015AD">
        <w:rPr>
          <w:rFonts w:eastAsia="標楷體" w:hint="eastAsia"/>
        </w:rPr>
        <w:t>所提供恐怖份子、團體之名單及國際洗錢防制組織認定或追查之恐怖組織之名單）。</w:t>
      </w:r>
    </w:p>
    <w:p w:rsidR="0098585C" w:rsidRPr="000015AD" w:rsidRDefault="000015AD" w:rsidP="000015AD">
      <w:pPr>
        <w:rPr>
          <w:rFonts w:eastAsia="標楷體"/>
        </w:rPr>
      </w:pPr>
      <w:r>
        <w:rPr>
          <w:rFonts w:eastAsia="標楷體" w:hint="eastAsia"/>
        </w:rPr>
        <w:t xml:space="preserve"> (</w:t>
      </w:r>
      <w:r>
        <w:rPr>
          <w:rFonts w:eastAsia="標楷體" w:hint="eastAsia"/>
        </w:rPr>
        <w:t>五</w:t>
      </w:r>
      <w:r>
        <w:rPr>
          <w:rFonts w:eastAsia="標楷體" w:hint="eastAsia"/>
        </w:rPr>
        <w:t>)</w:t>
      </w:r>
      <w:r>
        <w:rPr>
          <w:rFonts w:eastAsia="標楷體" w:hint="eastAsia"/>
        </w:rPr>
        <w:t>、</w:t>
      </w:r>
      <w:r w:rsidR="0098585C" w:rsidRPr="000015AD">
        <w:rPr>
          <w:rFonts w:eastAsia="標楷體" w:hint="eastAsia"/>
        </w:rPr>
        <w:t>其他明顯不正常之交易行為。</w:t>
      </w:r>
    </w:p>
    <w:p w:rsidR="0098585C" w:rsidRDefault="000954CD" w:rsidP="005F1EFD">
      <w:pPr>
        <w:numPr>
          <w:ilvl w:val="0"/>
          <w:numId w:val="2"/>
        </w:numPr>
        <w:rPr>
          <w:rFonts w:eastAsia="標楷體"/>
        </w:rPr>
      </w:pPr>
      <w:r w:rsidRPr="00DF35AB">
        <w:rPr>
          <w:rFonts w:eastAsia="標楷體" w:hint="eastAsia"/>
        </w:rPr>
        <w:t>防制洗錢內部管制程序</w:t>
      </w:r>
    </w:p>
    <w:p w:rsidR="000954CD" w:rsidRPr="000015AD" w:rsidRDefault="000015AD" w:rsidP="000015AD">
      <w:pPr>
        <w:rPr>
          <w:rFonts w:eastAsia="標楷體"/>
        </w:rPr>
      </w:pPr>
      <w:r>
        <w:rPr>
          <w:rFonts w:eastAsia="標楷體" w:hint="eastAsia"/>
        </w:rPr>
        <w:t xml:space="preserve"> (</w:t>
      </w:r>
      <w:proofErr w:type="gramStart"/>
      <w:r>
        <w:rPr>
          <w:rFonts w:eastAsia="標楷體" w:hint="eastAsia"/>
        </w:rPr>
        <w:t>一</w:t>
      </w:r>
      <w:proofErr w:type="gramEnd"/>
      <w:r>
        <w:rPr>
          <w:rFonts w:eastAsia="標楷體" w:hint="eastAsia"/>
        </w:rPr>
        <w:t>)</w:t>
      </w:r>
      <w:r>
        <w:rPr>
          <w:rFonts w:eastAsia="標楷體" w:hint="eastAsia"/>
        </w:rPr>
        <w:t>、</w:t>
      </w:r>
      <w:r w:rsidR="000954CD" w:rsidRPr="000015AD">
        <w:rPr>
          <w:rFonts w:eastAsia="標楷體" w:hint="eastAsia"/>
        </w:rPr>
        <w:t>保存完整正確交易紀錄之保存方式與年限：</w:t>
      </w:r>
    </w:p>
    <w:p w:rsidR="000954CD" w:rsidRPr="000015AD" w:rsidRDefault="000015AD" w:rsidP="000015AD">
      <w:pPr>
        <w:ind w:left="566" w:hangingChars="236" w:hanging="566"/>
        <w:rPr>
          <w:rFonts w:eastAsia="標楷體"/>
        </w:rPr>
      </w:pPr>
      <w:r>
        <w:rPr>
          <w:rFonts w:eastAsia="標楷體" w:hint="eastAsia"/>
        </w:rPr>
        <w:t xml:space="preserve">  1</w:t>
      </w:r>
      <w:r>
        <w:rPr>
          <w:rFonts w:eastAsia="標楷體" w:hint="eastAsia"/>
        </w:rPr>
        <w:t>、</w:t>
      </w:r>
      <w:r w:rsidR="000954CD" w:rsidRPr="000015AD">
        <w:rPr>
          <w:rFonts w:eastAsia="標楷體" w:hint="eastAsia"/>
        </w:rPr>
        <w:t>保存方式：依本注意事項所述之疑似洗錢之交易應留存原始完整正確之交易紀錄。</w:t>
      </w:r>
    </w:p>
    <w:p w:rsidR="000954CD" w:rsidRPr="000015AD" w:rsidRDefault="000015AD" w:rsidP="000015AD">
      <w:pPr>
        <w:rPr>
          <w:rFonts w:eastAsia="標楷體"/>
        </w:rPr>
      </w:pPr>
      <w:r>
        <w:rPr>
          <w:rFonts w:eastAsia="標楷體" w:hint="eastAsia"/>
        </w:rPr>
        <w:t xml:space="preserve">  2</w:t>
      </w:r>
      <w:r>
        <w:rPr>
          <w:rFonts w:eastAsia="標楷體" w:hint="eastAsia"/>
        </w:rPr>
        <w:t>、</w:t>
      </w:r>
      <w:r w:rsidR="000954CD" w:rsidRPr="000015AD">
        <w:rPr>
          <w:rFonts w:eastAsia="標楷體" w:hint="eastAsia"/>
        </w:rPr>
        <w:t>保存年限：前項申報及交易紀錄應以原本方式保存五年。</w:t>
      </w:r>
    </w:p>
    <w:p w:rsidR="00EB0A72" w:rsidRPr="000015AD" w:rsidRDefault="000015AD" w:rsidP="000015AD">
      <w:pPr>
        <w:ind w:left="566" w:hangingChars="236" w:hanging="566"/>
        <w:rPr>
          <w:rFonts w:eastAsia="標楷體"/>
        </w:rPr>
      </w:pPr>
      <w:r>
        <w:rPr>
          <w:rFonts w:eastAsia="標楷體" w:hint="eastAsia"/>
        </w:rPr>
        <w:t xml:space="preserve">  3</w:t>
      </w:r>
      <w:r>
        <w:rPr>
          <w:rFonts w:eastAsia="標楷體" w:hint="eastAsia"/>
        </w:rPr>
        <w:t>、</w:t>
      </w:r>
      <w:r w:rsidR="00EB0A72" w:rsidRPr="000015AD">
        <w:rPr>
          <w:rFonts w:eastAsia="標楷體" w:hint="eastAsia"/>
        </w:rPr>
        <w:t>使用者之身分資料以及交易紀錄資料，應於</w:t>
      </w:r>
      <w:r w:rsidR="008A13E9" w:rsidRPr="000015AD">
        <w:rPr>
          <w:rFonts w:eastAsia="標楷體" w:hint="eastAsia"/>
        </w:rPr>
        <w:t>第三方</w:t>
      </w:r>
      <w:r w:rsidR="00EB0A72" w:rsidRPr="000015AD">
        <w:rPr>
          <w:rFonts w:eastAsia="標楷體" w:hint="eastAsia"/>
        </w:rPr>
        <w:t>支付機構中止或結束使用者帳戶、中止或完成交付指示後，至少保存五年以上。</w:t>
      </w:r>
    </w:p>
    <w:p w:rsidR="000954CD" w:rsidRPr="000015AD" w:rsidRDefault="000015AD" w:rsidP="000015AD">
      <w:pPr>
        <w:rPr>
          <w:rFonts w:eastAsia="標楷體"/>
        </w:rPr>
      </w:pPr>
      <w:r>
        <w:rPr>
          <w:rFonts w:eastAsia="標楷體" w:hint="eastAsia"/>
        </w:rPr>
        <w:t xml:space="preserve"> (</w:t>
      </w:r>
      <w:r>
        <w:rPr>
          <w:rFonts w:eastAsia="標楷體" w:hint="eastAsia"/>
        </w:rPr>
        <w:t>二</w:t>
      </w:r>
      <w:r>
        <w:rPr>
          <w:rFonts w:eastAsia="標楷體" w:hint="eastAsia"/>
        </w:rPr>
        <w:t>)</w:t>
      </w:r>
      <w:r>
        <w:rPr>
          <w:rFonts w:eastAsia="標楷體" w:hint="eastAsia"/>
        </w:rPr>
        <w:t>、</w:t>
      </w:r>
      <w:r w:rsidR="00EB0A72" w:rsidRPr="000015AD">
        <w:rPr>
          <w:rFonts w:eastAsia="標楷體" w:hint="eastAsia"/>
        </w:rPr>
        <w:t>對</w:t>
      </w:r>
      <w:r w:rsidR="007A1FBC" w:rsidRPr="000015AD">
        <w:rPr>
          <w:rFonts w:eastAsia="標楷體" w:hint="eastAsia"/>
        </w:rPr>
        <w:t>使用者</w:t>
      </w:r>
      <w:r w:rsidR="00EB0A72" w:rsidRPr="000015AD">
        <w:rPr>
          <w:rFonts w:eastAsia="標楷體" w:hint="eastAsia"/>
        </w:rPr>
        <w:t>與本公司職員有意規避洗錢防制法規定之處理：</w:t>
      </w:r>
    </w:p>
    <w:p w:rsidR="00EB0A72" w:rsidRPr="000015AD" w:rsidRDefault="007A1FBC" w:rsidP="000015AD">
      <w:pPr>
        <w:pStyle w:val="ac"/>
        <w:numPr>
          <w:ilvl w:val="0"/>
          <w:numId w:val="31"/>
        </w:numPr>
        <w:ind w:leftChars="0"/>
        <w:rPr>
          <w:rFonts w:eastAsia="標楷體"/>
        </w:rPr>
      </w:pPr>
      <w:r w:rsidRPr="000015AD">
        <w:rPr>
          <w:rFonts w:eastAsia="標楷體" w:hint="eastAsia"/>
        </w:rPr>
        <w:t>使用者有下列情事者，應婉拒提供服務：</w:t>
      </w:r>
    </w:p>
    <w:p w:rsidR="007A1FBC" w:rsidRPr="000015AD" w:rsidRDefault="000015AD" w:rsidP="000015AD">
      <w:pPr>
        <w:ind w:left="850" w:hangingChars="354" w:hanging="850"/>
        <w:rPr>
          <w:rFonts w:eastAsia="標楷體"/>
        </w:rPr>
      </w:pPr>
      <w:r>
        <w:rPr>
          <w:rFonts w:eastAsia="標楷體" w:hint="eastAsia"/>
        </w:rPr>
        <w:t xml:space="preserve">   (1)</w:t>
      </w:r>
      <w:r>
        <w:rPr>
          <w:rFonts w:eastAsia="標楷體" w:hint="eastAsia"/>
        </w:rPr>
        <w:t>、</w:t>
      </w:r>
      <w:r w:rsidR="007A1FBC" w:rsidRPr="000015AD">
        <w:rPr>
          <w:rFonts w:eastAsia="標楷體" w:hint="eastAsia"/>
        </w:rPr>
        <w:t>當使用者被告知依法必須提供相關資料確認身分時，仍拒不提供填寫所需之相關資料。</w:t>
      </w:r>
    </w:p>
    <w:p w:rsidR="007A1FBC" w:rsidRPr="000015AD" w:rsidRDefault="000015AD" w:rsidP="000015AD">
      <w:pPr>
        <w:ind w:left="850" w:hangingChars="354" w:hanging="850"/>
        <w:rPr>
          <w:rFonts w:eastAsia="標楷體"/>
        </w:rPr>
      </w:pPr>
      <w:r>
        <w:rPr>
          <w:rFonts w:eastAsia="標楷體" w:hint="eastAsia"/>
        </w:rPr>
        <w:t xml:space="preserve">   (2)</w:t>
      </w:r>
      <w:r>
        <w:rPr>
          <w:rFonts w:eastAsia="標楷體" w:hint="eastAsia"/>
        </w:rPr>
        <w:t>、</w:t>
      </w:r>
      <w:r w:rsidR="007A1FBC" w:rsidRPr="000015AD">
        <w:rPr>
          <w:rFonts w:eastAsia="標楷體" w:hint="eastAsia"/>
        </w:rPr>
        <w:t>任何個人或團體強迫或意圖強迫本公司職員不得將交易紀錄或申報表格建檔。</w:t>
      </w:r>
    </w:p>
    <w:p w:rsidR="007A1FBC" w:rsidRPr="000015AD" w:rsidRDefault="007A1FBC" w:rsidP="000015AD">
      <w:pPr>
        <w:pStyle w:val="ac"/>
        <w:numPr>
          <w:ilvl w:val="0"/>
          <w:numId w:val="31"/>
        </w:numPr>
        <w:ind w:leftChars="0"/>
        <w:rPr>
          <w:rFonts w:eastAsia="標楷體"/>
        </w:rPr>
      </w:pPr>
      <w:r w:rsidRPr="000015AD">
        <w:rPr>
          <w:rFonts w:eastAsia="標楷體" w:hint="eastAsia"/>
        </w:rPr>
        <w:t>公司職員有下列情形之</w:t>
      </w:r>
      <w:proofErr w:type="gramStart"/>
      <w:r w:rsidRPr="000015AD">
        <w:rPr>
          <w:rFonts w:eastAsia="標楷體" w:hint="eastAsia"/>
        </w:rPr>
        <w:t>一</w:t>
      </w:r>
      <w:proofErr w:type="gramEnd"/>
      <w:r w:rsidRPr="000015AD">
        <w:rPr>
          <w:rFonts w:eastAsia="標楷體" w:hint="eastAsia"/>
        </w:rPr>
        <w:t>者，應對其承辦事務予以抽查：</w:t>
      </w:r>
    </w:p>
    <w:p w:rsidR="007A1FBC" w:rsidRPr="000015AD" w:rsidRDefault="000015AD" w:rsidP="000015AD">
      <w:pPr>
        <w:ind w:left="585"/>
        <w:rPr>
          <w:rFonts w:eastAsia="標楷體"/>
        </w:rPr>
      </w:pPr>
      <w:r>
        <w:rPr>
          <w:rFonts w:eastAsia="標楷體" w:hint="eastAsia"/>
        </w:rPr>
        <w:lastRenderedPageBreak/>
        <w:t>(1)</w:t>
      </w:r>
      <w:r>
        <w:rPr>
          <w:rFonts w:eastAsia="標楷體" w:hint="eastAsia"/>
        </w:rPr>
        <w:t>、</w:t>
      </w:r>
      <w:r w:rsidR="007A1FBC" w:rsidRPr="000015AD">
        <w:rPr>
          <w:rFonts w:eastAsia="標楷體" w:hint="eastAsia"/>
        </w:rPr>
        <w:t>職員奢侈之生活方式與其薪資所得顯不相當者。</w:t>
      </w:r>
    </w:p>
    <w:p w:rsidR="007A1FBC" w:rsidRPr="000015AD" w:rsidRDefault="000015AD" w:rsidP="000015AD">
      <w:pPr>
        <w:rPr>
          <w:rFonts w:eastAsia="標楷體"/>
        </w:rPr>
      </w:pPr>
      <w:r>
        <w:rPr>
          <w:rFonts w:eastAsia="標楷體" w:hint="eastAsia"/>
        </w:rPr>
        <w:t xml:space="preserve">     (2)</w:t>
      </w:r>
      <w:r>
        <w:rPr>
          <w:rFonts w:eastAsia="標楷體" w:hint="eastAsia"/>
        </w:rPr>
        <w:t>、</w:t>
      </w:r>
      <w:r w:rsidR="007A1FBC" w:rsidRPr="000015AD">
        <w:rPr>
          <w:rFonts w:eastAsia="標楷體" w:hint="eastAsia"/>
        </w:rPr>
        <w:t>職員依規定應休假而無故不願意休假者。</w:t>
      </w:r>
    </w:p>
    <w:p w:rsidR="007A1FBC" w:rsidRDefault="000015AD" w:rsidP="000015AD">
      <w:pPr>
        <w:pStyle w:val="ac"/>
        <w:ind w:leftChars="0" w:left="585"/>
        <w:rPr>
          <w:rFonts w:eastAsia="標楷體"/>
        </w:rPr>
      </w:pPr>
      <w:r>
        <w:rPr>
          <w:rFonts w:eastAsia="標楷體" w:hint="eastAsia"/>
        </w:rPr>
        <w:t>(3)</w:t>
      </w:r>
      <w:r>
        <w:rPr>
          <w:rFonts w:eastAsia="標楷體" w:hint="eastAsia"/>
        </w:rPr>
        <w:t>、</w:t>
      </w:r>
      <w:r w:rsidR="007A1FBC" w:rsidRPr="00DF35AB">
        <w:rPr>
          <w:rFonts w:eastAsia="標楷體" w:hint="eastAsia"/>
        </w:rPr>
        <w:t>職員無法合理解釋其自有帳戶之大額資金進出者。</w:t>
      </w:r>
    </w:p>
    <w:p w:rsidR="00EB0A72" w:rsidRPr="000015AD" w:rsidRDefault="000015AD" w:rsidP="000015AD">
      <w:pPr>
        <w:rPr>
          <w:rFonts w:eastAsia="標楷體"/>
        </w:rPr>
      </w:pPr>
      <w:r>
        <w:rPr>
          <w:rFonts w:eastAsia="標楷體" w:hint="eastAsia"/>
        </w:rPr>
        <w:t xml:space="preserve"> (</w:t>
      </w:r>
      <w:r>
        <w:rPr>
          <w:rFonts w:eastAsia="標楷體" w:hint="eastAsia"/>
        </w:rPr>
        <w:t>三</w:t>
      </w:r>
      <w:r>
        <w:rPr>
          <w:rFonts w:eastAsia="標楷體" w:hint="eastAsia"/>
        </w:rPr>
        <w:t>)</w:t>
      </w:r>
      <w:r>
        <w:rPr>
          <w:rFonts w:eastAsia="標楷體" w:hint="eastAsia"/>
        </w:rPr>
        <w:t>、</w:t>
      </w:r>
      <w:r w:rsidR="007A1FBC" w:rsidRPr="000015AD">
        <w:rPr>
          <w:rFonts w:eastAsia="標楷體" w:hint="eastAsia"/>
        </w:rPr>
        <w:t>內部申報流程規定及向指定機構申報之程序：</w:t>
      </w:r>
    </w:p>
    <w:p w:rsidR="007A1FBC" w:rsidRPr="000015AD" w:rsidRDefault="000015AD" w:rsidP="000015AD">
      <w:pPr>
        <w:ind w:left="566" w:hangingChars="236" w:hanging="566"/>
        <w:rPr>
          <w:rFonts w:eastAsia="標楷體"/>
        </w:rPr>
      </w:pPr>
      <w:r>
        <w:rPr>
          <w:rFonts w:eastAsia="標楷體" w:hint="eastAsia"/>
        </w:rPr>
        <w:t xml:space="preserve">  </w:t>
      </w:r>
      <w:r w:rsidR="009221A6">
        <w:rPr>
          <w:rFonts w:eastAsia="標楷體" w:hint="eastAsia"/>
        </w:rPr>
        <w:t xml:space="preserve">   </w:t>
      </w:r>
      <w:r w:rsidR="007A1FBC" w:rsidRPr="000015AD">
        <w:rPr>
          <w:rFonts w:eastAsia="標楷體" w:hint="eastAsia"/>
        </w:rPr>
        <w:t>公司應指派相當職位以上人員擔任負責人員，以協調監督防制洗錢注意事項之執行，並應指定一級單位為事務單位；該負責人員應曾參加洗錢防制法訓練課程，新到任者應於六</w:t>
      </w:r>
      <w:proofErr w:type="gramStart"/>
      <w:r w:rsidR="007A1FBC" w:rsidRPr="000015AD">
        <w:rPr>
          <w:rFonts w:eastAsia="標楷體" w:hint="eastAsia"/>
        </w:rPr>
        <w:t>個</w:t>
      </w:r>
      <w:proofErr w:type="gramEnd"/>
      <w:r w:rsidR="007A1FBC" w:rsidRPr="000015AD">
        <w:rPr>
          <w:rFonts w:eastAsia="標楷體" w:hint="eastAsia"/>
        </w:rPr>
        <w:t>月內參加該類訓練課程。</w:t>
      </w:r>
    </w:p>
    <w:p w:rsidR="009221A6" w:rsidRDefault="009221A6" w:rsidP="009221A6">
      <w:pPr>
        <w:rPr>
          <w:rFonts w:eastAsia="標楷體"/>
        </w:rPr>
      </w:pPr>
      <w:r>
        <w:rPr>
          <w:rFonts w:eastAsia="標楷體" w:hint="eastAsia"/>
        </w:rPr>
        <w:t xml:space="preserve">     </w:t>
      </w:r>
      <w:r w:rsidR="007A1FBC" w:rsidRPr="009221A6">
        <w:rPr>
          <w:rFonts w:eastAsia="標楷體" w:hint="eastAsia"/>
        </w:rPr>
        <w:t>申報流程：</w:t>
      </w:r>
    </w:p>
    <w:p w:rsidR="007A1FBC" w:rsidRPr="009221A6" w:rsidRDefault="007A1FBC" w:rsidP="009221A6">
      <w:pPr>
        <w:ind w:leftChars="236" w:left="566"/>
        <w:rPr>
          <w:rFonts w:eastAsia="標楷體"/>
        </w:rPr>
      </w:pPr>
      <w:r w:rsidRPr="009221A6">
        <w:rPr>
          <w:rFonts w:eastAsia="標楷體" w:hint="eastAsia"/>
        </w:rPr>
        <w:t>如發現屬明顯重大緊急之疑似洗錢交易，應立即以傳真或其他可行方式儘速申報，並立即補辦書面資料予受理申報之法務部調查局。但經法務部調查局以傳真資料確認回條回傳本公司確認收件者，無須補辦申報書。本公司並應留存傳真資料確認回條。</w:t>
      </w:r>
    </w:p>
    <w:p w:rsidR="007A1FBC" w:rsidRPr="00E84447" w:rsidRDefault="00E84447" w:rsidP="00E84447">
      <w:pPr>
        <w:rPr>
          <w:rFonts w:eastAsia="標楷體"/>
        </w:rPr>
      </w:pPr>
      <w:r>
        <w:rPr>
          <w:rFonts w:eastAsia="標楷體" w:hint="eastAsia"/>
        </w:rPr>
        <w:t xml:space="preserve"> (</w:t>
      </w:r>
      <w:r>
        <w:rPr>
          <w:rFonts w:eastAsia="標楷體" w:hint="eastAsia"/>
        </w:rPr>
        <w:t>四</w:t>
      </w:r>
      <w:r>
        <w:rPr>
          <w:rFonts w:eastAsia="標楷體" w:hint="eastAsia"/>
        </w:rPr>
        <w:t>)</w:t>
      </w:r>
      <w:r>
        <w:rPr>
          <w:rFonts w:eastAsia="標楷體" w:hint="eastAsia"/>
        </w:rPr>
        <w:t>、</w:t>
      </w:r>
      <w:r w:rsidR="00C73537" w:rsidRPr="00E84447">
        <w:rPr>
          <w:rFonts w:eastAsia="標楷體" w:hint="eastAsia"/>
        </w:rPr>
        <w:t>防止申報資料及消息洩漏之保密規定</w:t>
      </w:r>
    </w:p>
    <w:p w:rsidR="00C73537" w:rsidRPr="009221A6" w:rsidRDefault="009221A6" w:rsidP="009221A6">
      <w:pPr>
        <w:rPr>
          <w:rFonts w:eastAsia="標楷體"/>
        </w:rPr>
      </w:pPr>
      <w:r>
        <w:rPr>
          <w:rFonts w:eastAsia="標楷體" w:hint="eastAsia"/>
        </w:rPr>
        <w:t xml:space="preserve">  1</w:t>
      </w:r>
      <w:r>
        <w:rPr>
          <w:rFonts w:eastAsia="標楷體" w:hint="eastAsia"/>
        </w:rPr>
        <w:t>、</w:t>
      </w:r>
      <w:r w:rsidR="00C73537" w:rsidRPr="009221A6">
        <w:rPr>
          <w:rFonts w:eastAsia="標楷體" w:hint="eastAsia"/>
        </w:rPr>
        <w:t>依前述</w:t>
      </w:r>
      <w:r>
        <w:rPr>
          <w:rFonts w:eastAsia="標楷體" w:hint="eastAsia"/>
        </w:rPr>
        <w:t>(</w:t>
      </w:r>
      <w:r>
        <w:rPr>
          <w:rFonts w:eastAsia="標楷體" w:hint="eastAsia"/>
        </w:rPr>
        <w:t>三</w:t>
      </w:r>
      <w:r>
        <w:rPr>
          <w:rFonts w:eastAsia="標楷體" w:hint="eastAsia"/>
        </w:rPr>
        <w:t>)</w:t>
      </w:r>
      <w:r w:rsidR="00C73537" w:rsidRPr="009221A6">
        <w:rPr>
          <w:rFonts w:eastAsia="標楷體" w:hint="eastAsia"/>
        </w:rPr>
        <w:t>申報時，應保守秘密，不得任意洩漏。</w:t>
      </w:r>
    </w:p>
    <w:p w:rsidR="00C73537" w:rsidRPr="009221A6" w:rsidRDefault="009221A6" w:rsidP="009221A6">
      <w:pPr>
        <w:ind w:leftChars="-1" w:left="641" w:hangingChars="268" w:hanging="643"/>
        <w:rPr>
          <w:rFonts w:eastAsia="標楷體"/>
        </w:rPr>
      </w:pPr>
      <w:r>
        <w:rPr>
          <w:rFonts w:eastAsia="標楷體" w:hint="eastAsia"/>
        </w:rPr>
        <w:t xml:space="preserve">  2</w:t>
      </w:r>
      <w:r>
        <w:rPr>
          <w:rFonts w:eastAsia="標楷體" w:hint="eastAsia"/>
        </w:rPr>
        <w:t>、</w:t>
      </w:r>
      <w:r w:rsidR="00C73537" w:rsidRPr="009221A6">
        <w:rPr>
          <w:rFonts w:eastAsia="標楷體" w:hint="eastAsia"/>
        </w:rPr>
        <w:t>本申報事項有關之文書，</w:t>
      </w:r>
      <w:proofErr w:type="gramStart"/>
      <w:r w:rsidR="00C73537" w:rsidRPr="009221A6">
        <w:rPr>
          <w:rFonts w:eastAsia="標楷體" w:hint="eastAsia"/>
        </w:rPr>
        <w:t>均應以</w:t>
      </w:r>
      <w:proofErr w:type="gramEnd"/>
      <w:r w:rsidR="00C73537" w:rsidRPr="009221A6">
        <w:rPr>
          <w:rFonts w:eastAsia="標楷體" w:hint="eastAsia"/>
        </w:rPr>
        <w:t>機密文件處理，如有洩密案件，應依有關規定處理。</w:t>
      </w:r>
    </w:p>
    <w:p w:rsidR="00C73537" w:rsidRPr="009221A6" w:rsidRDefault="009221A6" w:rsidP="009221A6">
      <w:pPr>
        <w:ind w:left="600" w:hangingChars="250" w:hanging="600"/>
        <w:rPr>
          <w:rFonts w:eastAsia="標楷體"/>
        </w:rPr>
      </w:pPr>
      <w:r>
        <w:rPr>
          <w:rFonts w:eastAsia="標楷體" w:hint="eastAsia"/>
        </w:rPr>
        <w:t xml:space="preserve">  3</w:t>
      </w:r>
      <w:r>
        <w:rPr>
          <w:rFonts w:eastAsia="標楷體" w:hint="eastAsia"/>
        </w:rPr>
        <w:t>、</w:t>
      </w:r>
      <w:r w:rsidR="00C73537" w:rsidRPr="009221A6">
        <w:rPr>
          <w:rFonts w:eastAsia="標楷體" w:hint="eastAsia"/>
        </w:rPr>
        <w:t>洗錢防制專責人員為執行職務需要，應得即時取得客戶資料與交易紀錄，惟應遵循保密規定。</w:t>
      </w:r>
    </w:p>
    <w:p w:rsidR="00C73537" w:rsidRPr="009221A6" w:rsidRDefault="00281900" w:rsidP="00281900">
      <w:pPr>
        <w:pStyle w:val="ac"/>
        <w:numPr>
          <w:ilvl w:val="0"/>
          <w:numId w:val="32"/>
        </w:numPr>
        <w:ind w:leftChars="0"/>
        <w:rPr>
          <w:rFonts w:eastAsia="標楷體"/>
        </w:rPr>
      </w:pPr>
      <w:r w:rsidRPr="00281900">
        <w:rPr>
          <w:rFonts w:eastAsia="標楷體" w:hint="eastAsia"/>
        </w:rPr>
        <w:t>公司對內部管制措施所訂防制洗錢注意事項應定期檢討。</w:t>
      </w:r>
      <w:bookmarkStart w:id="0" w:name="_GoBack"/>
      <w:bookmarkEnd w:id="0"/>
    </w:p>
    <w:p w:rsidR="000954CD" w:rsidRDefault="00C73537" w:rsidP="005F1EFD">
      <w:pPr>
        <w:numPr>
          <w:ilvl w:val="0"/>
          <w:numId w:val="2"/>
        </w:numPr>
        <w:rPr>
          <w:rFonts w:eastAsia="標楷體"/>
        </w:rPr>
      </w:pPr>
      <w:r w:rsidRPr="00DF35AB">
        <w:rPr>
          <w:rFonts w:eastAsia="標楷體" w:hint="eastAsia"/>
        </w:rPr>
        <w:t>對所屬員工應定期舉辦洗錢防制法令及實務</w:t>
      </w:r>
      <w:proofErr w:type="gramStart"/>
      <w:r>
        <w:rPr>
          <w:rFonts w:eastAsia="標楷體" w:hint="eastAsia"/>
        </w:rPr>
        <w:t>（</w:t>
      </w:r>
      <w:proofErr w:type="gramEnd"/>
      <w:r w:rsidRPr="00DF35AB">
        <w:rPr>
          <w:rFonts w:eastAsia="標楷體" w:hint="eastAsia"/>
        </w:rPr>
        <w:t>例如：洗錢之特徵、可疑交易之類型等</w:t>
      </w:r>
      <w:proofErr w:type="gramStart"/>
      <w:r>
        <w:rPr>
          <w:rFonts w:eastAsia="標楷體" w:hint="eastAsia"/>
        </w:rPr>
        <w:t>）</w:t>
      </w:r>
      <w:proofErr w:type="gramEnd"/>
      <w:r w:rsidRPr="00DF35AB">
        <w:rPr>
          <w:rFonts w:eastAsia="標楷體" w:hint="eastAsia"/>
        </w:rPr>
        <w:t>等在職訓練</w:t>
      </w:r>
      <w:r>
        <w:rPr>
          <w:rFonts w:eastAsia="標楷體" w:hint="eastAsia"/>
        </w:rPr>
        <w:t>。</w:t>
      </w:r>
    </w:p>
    <w:p w:rsidR="00C73537" w:rsidRDefault="00C73537" w:rsidP="005F1EFD">
      <w:pPr>
        <w:numPr>
          <w:ilvl w:val="0"/>
          <w:numId w:val="2"/>
        </w:numPr>
        <w:rPr>
          <w:rFonts w:eastAsia="標楷體"/>
        </w:rPr>
      </w:pPr>
      <w:r w:rsidRPr="00DF35AB">
        <w:rPr>
          <w:rFonts w:eastAsia="標楷體" w:hint="eastAsia"/>
        </w:rPr>
        <w:t>對防制洗錢有功職員應給予獎勵措施</w:t>
      </w:r>
      <w:r>
        <w:rPr>
          <w:rFonts w:eastAsia="標楷體" w:hint="eastAsia"/>
        </w:rPr>
        <w:t>。</w:t>
      </w:r>
    </w:p>
    <w:sectPr w:rsidR="00C73537" w:rsidSect="00B00DE9">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E5E" w:rsidRDefault="00721E5E">
      <w:r>
        <w:separator/>
      </w:r>
    </w:p>
  </w:endnote>
  <w:endnote w:type="continuationSeparator" w:id="0">
    <w:p w:rsidR="00721E5E" w:rsidRDefault="0072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0F" w:rsidRDefault="00FB4B53" w:rsidP="00FB6835">
    <w:pPr>
      <w:pStyle w:val="a3"/>
      <w:framePr w:wrap="around" w:vAnchor="text" w:hAnchor="margin" w:xAlign="right" w:y="1"/>
      <w:rPr>
        <w:rStyle w:val="a4"/>
      </w:rPr>
    </w:pPr>
    <w:r>
      <w:rPr>
        <w:rStyle w:val="a4"/>
      </w:rPr>
      <w:fldChar w:fldCharType="begin"/>
    </w:r>
    <w:r w:rsidR="00E0490F">
      <w:rPr>
        <w:rStyle w:val="a4"/>
      </w:rPr>
      <w:instrText xml:space="preserve">PAGE  </w:instrText>
    </w:r>
    <w:r>
      <w:rPr>
        <w:rStyle w:val="a4"/>
      </w:rPr>
      <w:fldChar w:fldCharType="end"/>
    </w:r>
  </w:p>
  <w:p w:rsidR="00E0490F" w:rsidRDefault="00E0490F" w:rsidP="00FB683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0F" w:rsidRDefault="00FB4B53" w:rsidP="00FB6835">
    <w:pPr>
      <w:pStyle w:val="a3"/>
      <w:framePr w:wrap="around" w:vAnchor="text" w:hAnchor="margin" w:xAlign="right" w:y="1"/>
      <w:rPr>
        <w:rStyle w:val="a4"/>
      </w:rPr>
    </w:pPr>
    <w:r>
      <w:rPr>
        <w:rStyle w:val="a4"/>
      </w:rPr>
      <w:fldChar w:fldCharType="begin"/>
    </w:r>
    <w:r w:rsidR="00E0490F">
      <w:rPr>
        <w:rStyle w:val="a4"/>
      </w:rPr>
      <w:instrText xml:space="preserve">PAGE  </w:instrText>
    </w:r>
    <w:r>
      <w:rPr>
        <w:rStyle w:val="a4"/>
      </w:rPr>
      <w:fldChar w:fldCharType="separate"/>
    </w:r>
    <w:r w:rsidR="00281900">
      <w:rPr>
        <w:rStyle w:val="a4"/>
        <w:noProof/>
      </w:rPr>
      <w:t>2</w:t>
    </w:r>
    <w:r>
      <w:rPr>
        <w:rStyle w:val="a4"/>
      </w:rPr>
      <w:fldChar w:fldCharType="end"/>
    </w:r>
  </w:p>
  <w:p w:rsidR="00E0490F" w:rsidRDefault="00E0490F" w:rsidP="00C91FA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E5E" w:rsidRDefault="00721E5E">
      <w:r>
        <w:separator/>
      </w:r>
    </w:p>
  </w:footnote>
  <w:footnote w:type="continuationSeparator" w:id="0">
    <w:p w:rsidR="00721E5E" w:rsidRDefault="00721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C6B"/>
    <w:multiLevelType w:val="hybridMultilevel"/>
    <w:tmpl w:val="3E465352"/>
    <w:lvl w:ilvl="0" w:tplc="41026A7A">
      <w:start w:val="1"/>
      <w:numFmt w:val="taiwaneseCountingThousand"/>
      <w:lvlText w:val="(%1)"/>
      <w:lvlJc w:val="left"/>
      <w:pPr>
        <w:tabs>
          <w:tab w:val="num" w:pos="532"/>
        </w:tabs>
        <w:ind w:left="532" w:hanging="39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04184353"/>
    <w:multiLevelType w:val="hybridMultilevel"/>
    <w:tmpl w:val="CD106ECC"/>
    <w:lvl w:ilvl="0" w:tplc="4F1A1630">
      <w:start w:val="1"/>
      <w:numFmt w:val="decimal"/>
      <w:lvlText w:val="(%1)"/>
      <w:lvlJc w:val="left"/>
      <w:pPr>
        <w:ind w:left="1320" w:hanging="480"/>
      </w:pPr>
      <w:rPr>
        <w:rFonts w:hint="eastAsia"/>
      </w:rPr>
    </w:lvl>
    <w:lvl w:ilvl="1" w:tplc="100E4AF6">
      <w:start w:val="2"/>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E4A6556"/>
    <w:multiLevelType w:val="hybridMultilevel"/>
    <w:tmpl w:val="5ECAE940"/>
    <w:lvl w:ilvl="0" w:tplc="6F767B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D2F3F51"/>
    <w:multiLevelType w:val="hybridMultilevel"/>
    <w:tmpl w:val="A15A7256"/>
    <w:lvl w:ilvl="0" w:tplc="7E96BC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7051D9"/>
    <w:multiLevelType w:val="hybridMultilevel"/>
    <w:tmpl w:val="7040BA92"/>
    <w:lvl w:ilvl="0" w:tplc="CCF6A932">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nsid w:val="25E31EAE"/>
    <w:multiLevelType w:val="hybridMultilevel"/>
    <w:tmpl w:val="30C208BC"/>
    <w:lvl w:ilvl="0" w:tplc="94AE6212">
      <w:start w:val="1"/>
      <w:numFmt w:val="decimal"/>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nsid w:val="29BF41E7"/>
    <w:multiLevelType w:val="hybridMultilevel"/>
    <w:tmpl w:val="11D2E726"/>
    <w:lvl w:ilvl="0" w:tplc="098A748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DF72B4C"/>
    <w:multiLevelType w:val="hybridMultilevel"/>
    <w:tmpl w:val="51E430FA"/>
    <w:lvl w:ilvl="0" w:tplc="414C68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F2F5D4E"/>
    <w:multiLevelType w:val="hybridMultilevel"/>
    <w:tmpl w:val="748A67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4D509EB"/>
    <w:multiLevelType w:val="hybridMultilevel"/>
    <w:tmpl w:val="A6C2DE76"/>
    <w:lvl w:ilvl="0" w:tplc="5122F72A">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6174D55"/>
    <w:multiLevelType w:val="hybridMultilevel"/>
    <w:tmpl w:val="5FBC4D78"/>
    <w:lvl w:ilvl="0" w:tplc="4D1A69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A8E0D5E"/>
    <w:multiLevelType w:val="hybridMultilevel"/>
    <w:tmpl w:val="2FC2AE3A"/>
    <w:lvl w:ilvl="0" w:tplc="90CEC6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DB047A5"/>
    <w:multiLevelType w:val="hybridMultilevel"/>
    <w:tmpl w:val="C8446670"/>
    <w:lvl w:ilvl="0" w:tplc="CF464B9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3235432"/>
    <w:multiLevelType w:val="hybridMultilevel"/>
    <w:tmpl w:val="C3AC3EC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D197043"/>
    <w:multiLevelType w:val="hybridMultilevel"/>
    <w:tmpl w:val="4808E0E6"/>
    <w:lvl w:ilvl="0" w:tplc="91C492C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1778B5"/>
    <w:multiLevelType w:val="hybridMultilevel"/>
    <w:tmpl w:val="50342D92"/>
    <w:lvl w:ilvl="0" w:tplc="0BC02F2E">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6">
    <w:nsid w:val="553B762A"/>
    <w:multiLevelType w:val="hybridMultilevel"/>
    <w:tmpl w:val="79AEA5C4"/>
    <w:lvl w:ilvl="0" w:tplc="4F1A1630">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557B06C6"/>
    <w:multiLevelType w:val="hybridMultilevel"/>
    <w:tmpl w:val="4D4E0A7A"/>
    <w:lvl w:ilvl="0" w:tplc="EA8CBDA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7076389"/>
    <w:multiLevelType w:val="hybridMultilevel"/>
    <w:tmpl w:val="FB6E3BF0"/>
    <w:lvl w:ilvl="0" w:tplc="895AD8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7E94A7A"/>
    <w:multiLevelType w:val="hybridMultilevel"/>
    <w:tmpl w:val="4912C63C"/>
    <w:lvl w:ilvl="0" w:tplc="8F345572">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nsid w:val="591D7A6E"/>
    <w:multiLevelType w:val="hybridMultilevel"/>
    <w:tmpl w:val="6C824FAA"/>
    <w:lvl w:ilvl="0" w:tplc="9C7E00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929321F"/>
    <w:multiLevelType w:val="hybridMultilevel"/>
    <w:tmpl w:val="2D5A1FB0"/>
    <w:lvl w:ilvl="0" w:tplc="AA88C424">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A105760"/>
    <w:multiLevelType w:val="hybridMultilevel"/>
    <w:tmpl w:val="C0C6EA2E"/>
    <w:lvl w:ilvl="0" w:tplc="67B27E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DAA075E"/>
    <w:multiLevelType w:val="hybridMultilevel"/>
    <w:tmpl w:val="AEDCCEAE"/>
    <w:lvl w:ilvl="0" w:tplc="757CAC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6454D9"/>
    <w:multiLevelType w:val="hybridMultilevel"/>
    <w:tmpl w:val="4C0E0CC4"/>
    <w:lvl w:ilvl="0" w:tplc="7618DE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3D5320C"/>
    <w:multiLevelType w:val="hybridMultilevel"/>
    <w:tmpl w:val="C714E132"/>
    <w:lvl w:ilvl="0" w:tplc="74E274C2">
      <w:start w:val="4"/>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6">
    <w:nsid w:val="66790AB2"/>
    <w:multiLevelType w:val="hybridMultilevel"/>
    <w:tmpl w:val="09681C14"/>
    <w:lvl w:ilvl="0" w:tplc="5122F72A">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D44076D"/>
    <w:multiLevelType w:val="hybridMultilevel"/>
    <w:tmpl w:val="FB660212"/>
    <w:lvl w:ilvl="0" w:tplc="BA3885F8">
      <w:start w:val="1"/>
      <w:numFmt w:val="decimal"/>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8">
    <w:nsid w:val="6F2C35B2"/>
    <w:multiLevelType w:val="hybridMultilevel"/>
    <w:tmpl w:val="8DCAF146"/>
    <w:lvl w:ilvl="0" w:tplc="FE6AB2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1B1746F"/>
    <w:multiLevelType w:val="hybridMultilevel"/>
    <w:tmpl w:val="D0388D98"/>
    <w:lvl w:ilvl="0" w:tplc="A6D0EE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D2A1272"/>
    <w:multiLevelType w:val="hybridMultilevel"/>
    <w:tmpl w:val="8550AD8A"/>
    <w:lvl w:ilvl="0" w:tplc="5422FB7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7DA45C7A"/>
    <w:multiLevelType w:val="hybridMultilevel"/>
    <w:tmpl w:val="541C2A7C"/>
    <w:lvl w:ilvl="0" w:tplc="968E46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2"/>
  </w:num>
  <w:num w:numId="2">
    <w:abstractNumId w:val="13"/>
  </w:num>
  <w:num w:numId="3">
    <w:abstractNumId w:val="0"/>
  </w:num>
  <w:num w:numId="4">
    <w:abstractNumId w:val="23"/>
  </w:num>
  <w:num w:numId="5">
    <w:abstractNumId w:val="11"/>
  </w:num>
  <w:num w:numId="6">
    <w:abstractNumId w:val="12"/>
  </w:num>
  <w:num w:numId="7">
    <w:abstractNumId w:val="6"/>
  </w:num>
  <w:num w:numId="8">
    <w:abstractNumId w:val="2"/>
  </w:num>
  <w:num w:numId="9">
    <w:abstractNumId w:val="29"/>
  </w:num>
  <w:num w:numId="10">
    <w:abstractNumId w:val="14"/>
  </w:num>
  <w:num w:numId="11">
    <w:abstractNumId w:val="18"/>
  </w:num>
  <w:num w:numId="12">
    <w:abstractNumId w:val="24"/>
  </w:num>
  <w:num w:numId="13">
    <w:abstractNumId w:val="20"/>
  </w:num>
  <w:num w:numId="14">
    <w:abstractNumId w:val="3"/>
  </w:num>
  <w:num w:numId="15">
    <w:abstractNumId w:val="28"/>
  </w:num>
  <w:num w:numId="16">
    <w:abstractNumId w:val="30"/>
  </w:num>
  <w:num w:numId="17">
    <w:abstractNumId w:val="21"/>
  </w:num>
  <w:num w:numId="18">
    <w:abstractNumId w:val="9"/>
  </w:num>
  <w:num w:numId="19">
    <w:abstractNumId w:val="26"/>
  </w:num>
  <w:num w:numId="20">
    <w:abstractNumId w:val="17"/>
  </w:num>
  <w:num w:numId="21">
    <w:abstractNumId w:val="7"/>
  </w:num>
  <w:num w:numId="22">
    <w:abstractNumId w:val="8"/>
  </w:num>
  <w:num w:numId="23">
    <w:abstractNumId w:val="31"/>
  </w:num>
  <w:num w:numId="24">
    <w:abstractNumId w:val="10"/>
  </w:num>
  <w:num w:numId="25">
    <w:abstractNumId w:val="5"/>
  </w:num>
  <w:num w:numId="26">
    <w:abstractNumId w:val="16"/>
  </w:num>
  <w:num w:numId="27">
    <w:abstractNumId w:val="4"/>
  </w:num>
  <w:num w:numId="28">
    <w:abstractNumId w:val="19"/>
  </w:num>
  <w:num w:numId="29">
    <w:abstractNumId w:val="1"/>
  </w:num>
  <w:num w:numId="30">
    <w:abstractNumId w:val="27"/>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F3D"/>
    <w:rsid w:val="000015AD"/>
    <w:rsid w:val="00031745"/>
    <w:rsid w:val="00045012"/>
    <w:rsid w:val="000954CD"/>
    <w:rsid w:val="000A6A48"/>
    <w:rsid w:val="001502A3"/>
    <w:rsid w:val="00160356"/>
    <w:rsid w:val="0019500C"/>
    <w:rsid w:val="001D1A0D"/>
    <w:rsid w:val="001E1160"/>
    <w:rsid w:val="001F5B9B"/>
    <w:rsid w:val="002430F9"/>
    <w:rsid w:val="0027375D"/>
    <w:rsid w:val="002739F5"/>
    <w:rsid w:val="00281900"/>
    <w:rsid w:val="00293391"/>
    <w:rsid w:val="002A0DC7"/>
    <w:rsid w:val="002B3972"/>
    <w:rsid w:val="003404AE"/>
    <w:rsid w:val="0035056E"/>
    <w:rsid w:val="00363870"/>
    <w:rsid w:val="0037446F"/>
    <w:rsid w:val="003B2FCA"/>
    <w:rsid w:val="003B5804"/>
    <w:rsid w:val="003B6CF3"/>
    <w:rsid w:val="003D795E"/>
    <w:rsid w:val="003E7C2E"/>
    <w:rsid w:val="004101A2"/>
    <w:rsid w:val="00415D78"/>
    <w:rsid w:val="00440E02"/>
    <w:rsid w:val="0044436B"/>
    <w:rsid w:val="00480F3D"/>
    <w:rsid w:val="004A358A"/>
    <w:rsid w:val="004C7EE7"/>
    <w:rsid w:val="00526835"/>
    <w:rsid w:val="005E4F07"/>
    <w:rsid w:val="005F1EFD"/>
    <w:rsid w:val="005F5A16"/>
    <w:rsid w:val="00616F7F"/>
    <w:rsid w:val="006258D1"/>
    <w:rsid w:val="00626069"/>
    <w:rsid w:val="00626892"/>
    <w:rsid w:val="0065379F"/>
    <w:rsid w:val="00657BFF"/>
    <w:rsid w:val="00660D0F"/>
    <w:rsid w:val="006613F2"/>
    <w:rsid w:val="00667534"/>
    <w:rsid w:val="0068408B"/>
    <w:rsid w:val="0069094C"/>
    <w:rsid w:val="00691DC8"/>
    <w:rsid w:val="006967C0"/>
    <w:rsid w:val="0069760F"/>
    <w:rsid w:val="006C1421"/>
    <w:rsid w:val="006C2CD7"/>
    <w:rsid w:val="006C3CD2"/>
    <w:rsid w:val="00721E5E"/>
    <w:rsid w:val="0072711C"/>
    <w:rsid w:val="0075614E"/>
    <w:rsid w:val="0077711C"/>
    <w:rsid w:val="007A1FBC"/>
    <w:rsid w:val="007D05A0"/>
    <w:rsid w:val="007D7C7E"/>
    <w:rsid w:val="0083311A"/>
    <w:rsid w:val="00836CC0"/>
    <w:rsid w:val="00861A9B"/>
    <w:rsid w:val="00864802"/>
    <w:rsid w:val="008A13E9"/>
    <w:rsid w:val="008B5D31"/>
    <w:rsid w:val="008C1AD8"/>
    <w:rsid w:val="008C2901"/>
    <w:rsid w:val="008C78DB"/>
    <w:rsid w:val="009221A6"/>
    <w:rsid w:val="009341AC"/>
    <w:rsid w:val="0098585C"/>
    <w:rsid w:val="009C589B"/>
    <w:rsid w:val="00A73154"/>
    <w:rsid w:val="00AB662B"/>
    <w:rsid w:val="00AE26EE"/>
    <w:rsid w:val="00AE6EB5"/>
    <w:rsid w:val="00AF6E3A"/>
    <w:rsid w:val="00B00DE9"/>
    <w:rsid w:val="00B16113"/>
    <w:rsid w:val="00B1650A"/>
    <w:rsid w:val="00B40BAC"/>
    <w:rsid w:val="00B66940"/>
    <w:rsid w:val="00BA6445"/>
    <w:rsid w:val="00BD081B"/>
    <w:rsid w:val="00BF1E22"/>
    <w:rsid w:val="00C32D1F"/>
    <w:rsid w:val="00C51941"/>
    <w:rsid w:val="00C73537"/>
    <w:rsid w:val="00C74E7C"/>
    <w:rsid w:val="00C868E8"/>
    <w:rsid w:val="00C91FAF"/>
    <w:rsid w:val="00C9397E"/>
    <w:rsid w:val="00C9398A"/>
    <w:rsid w:val="00C97A91"/>
    <w:rsid w:val="00CE13A1"/>
    <w:rsid w:val="00D20201"/>
    <w:rsid w:val="00D35CFD"/>
    <w:rsid w:val="00D652AF"/>
    <w:rsid w:val="00D83D82"/>
    <w:rsid w:val="00D84F55"/>
    <w:rsid w:val="00DA0FEE"/>
    <w:rsid w:val="00DE305F"/>
    <w:rsid w:val="00DF35AB"/>
    <w:rsid w:val="00DF3C13"/>
    <w:rsid w:val="00E00441"/>
    <w:rsid w:val="00E045E3"/>
    <w:rsid w:val="00E0490F"/>
    <w:rsid w:val="00E84447"/>
    <w:rsid w:val="00EB0A72"/>
    <w:rsid w:val="00EC6B5B"/>
    <w:rsid w:val="00F21493"/>
    <w:rsid w:val="00F5301B"/>
    <w:rsid w:val="00F72C2C"/>
    <w:rsid w:val="00F9402F"/>
    <w:rsid w:val="00F97E1F"/>
    <w:rsid w:val="00F97F21"/>
    <w:rsid w:val="00FB4B53"/>
    <w:rsid w:val="00FB6835"/>
    <w:rsid w:val="00FB6E81"/>
    <w:rsid w:val="00FC1E05"/>
    <w:rsid w:val="00FD7201"/>
    <w:rsid w:val="00FE4DB1"/>
    <w:rsid w:val="00FE7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D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375D"/>
    <w:pPr>
      <w:tabs>
        <w:tab w:val="center" w:pos="4153"/>
        <w:tab w:val="right" w:pos="8306"/>
      </w:tabs>
      <w:snapToGrid w:val="0"/>
    </w:pPr>
    <w:rPr>
      <w:sz w:val="20"/>
      <w:szCs w:val="20"/>
    </w:rPr>
  </w:style>
  <w:style w:type="character" w:styleId="a4">
    <w:name w:val="page number"/>
    <w:basedOn w:val="a0"/>
    <w:rsid w:val="0027375D"/>
  </w:style>
  <w:style w:type="paragraph" w:styleId="a5">
    <w:name w:val="header"/>
    <w:basedOn w:val="a"/>
    <w:rsid w:val="007D05A0"/>
    <w:pPr>
      <w:tabs>
        <w:tab w:val="center" w:pos="4153"/>
        <w:tab w:val="right" w:pos="8306"/>
      </w:tabs>
      <w:snapToGrid w:val="0"/>
    </w:pPr>
    <w:rPr>
      <w:sz w:val="20"/>
      <w:szCs w:val="20"/>
    </w:rPr>
  </w:style>
  <w:style w:type="character" w:styleId="a6">
    <w:name w:val="annotation reference"/>
    <w:basedOn w:val="a0"/>
    <w:semiHidden/>
    <w:rsid w:val="00C9397E"/>
    <w:rPr>
      <w:sz w:val="18"/>
      <w:szCs w:val="18"/>
    </w:rPr>
  </w:style>
  <w:style w:type="paragraph" w:styleId="a7">
    <w:name w:val="annotation text"/>
    <w:basedOn w:val="a"/>
    <w:semiHidden/>
    <w:rsid w:val="00C9397E"/>
  </w:style>
  <w:style w:type="paragraph" w:styleId="a8">
    <w:name w:val="annotation subject"/>
    <w:basedOn w:val="a7"/>
    <w:next w:val="a7"/>
    <w:semiHidden/>
    <w:rsid w:val="00C9397E"/>
    <w:rPr>
      <w:b/>
      <w:bCs/>
    </w:rPr>
  </w:style>
  <w:style w:type="paragraph" w:styleId="a9">
    <w:name w:val="Balloon Text"/>
    <w:basedOn w:val="a"/>
    <w:semiHidden/>
    <w:rsid w:val="00C9397E"/>
    <w:rPr>
      <w:rFonts w:ascii="Arial" w:hAnsi="Arial"/>
      <w:sz w:val="18"/>
      <w:szCs w:val="18"/>
    </w:rPr>
  </w:style>
  <w:style w:type="paragraph" w:styleId="aa">
    <w:name w:val="footnote text"/>
    <w:basedOn w:val="a"/>
    <w:semiHidden/>
    <w:rsid w:val="00C9397E"/>
    <w:pPr>
      <w:snapToGrid w:val="0"/>
    </w:pPr>
    <w:rPr>
      <w:sz w:val="20"/>
      <w:szCs w:val="20"/>
    </w:rPr>
  </w:style>
  <w:style w:type="character" w:styleId="ab">
    <w:name w:val="footnote reference"/>
    <w:basedOn w:val="a0"/>
    <w:semiHidden/>
    <w:rsid w:val="00C9397E"/>
    <w:rPr>
      <w:vertAlign w:val="superscript"/>
    </w:rPr>
  </w:style>
  <w:style w:type="paragraph" w:styleId="ac">
    <w:name w:val="List Paragraph"/>
    <w:basedOn w:val="a"/>
    <w:uiPriority w:val="34"/>
    <w:qFormat/>
    <w:rsid w:val="00DF35A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D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375D"/>
    <w:pPr>
      <w:tabs>
        <w:tab w:val="center" w:pos="4153"/>
        <w:tab w:val="right" w:pos="8306"/>
      </w:tabs>
      <w:snapToGrid w:val="0"/>
    </w:pPr>
    <w:rPr>
      <w:sz w:val="20"/>
      <w:szCs w:val="20"/>
    </w:rPr>
  </w:style>
  <w:style w:type="character" w:styleId="a4">
    <w:name w:val="page number"/>
    <w:basedOn w:val="a0"/>
    <w:rsid w:val="0027375D"/>
  </w:style>
  <w:style w:type="paragraph" w:styleId="a5">
    <w:name w:val="header"/>
    <w:basedOn w:val="a"/>
    <w:rsid w:val="007D05A0"/>
    <w:pPr>
      <w:tabs>
        <w:tab w:val="center" w:pos="4153"/>
        <w:tab w:val="right" w:pos="8306"/>
      </w:tabs>
      <w:snapToGrid w:val="0"/>
    </w:pPr>
    <w:rPr>
      <w:sz w:val="20"/>
      <w:szCs w:val="20"/>
    </w:rPr>
  </w:style>
  <w:style w:type="character" w:styleId="a6">
    <w:name w:val="annotation reference"/>
    <w:basedOn w:val="a0"/>
    <w:semiHidden/>
    <w:rsid w:val="00C9397E"/>
    <w:rPr>
      <w:sz w:val="18"/>
      <w:szCs w:val="18"/>
    </w:rPr>
  </w:style>
  <w:style w:type="paragraph" w:styleId="a7">
    <w:name w:val="annotation text"/>
    <w:basedOn w:val="a"/>
    <w:semiHidden/>
    <w:rsid w:val="00C9397E"/>
  </w:style>
  <w:style w:type="paragraph" w:styleId="a8">
    <w:name w:val="annotation subject"/>
    <w:basedOn w:val="a7"/>
    <w:next w:val="a7"/>
    <w:semiHidden/>
    <w:rsid w:val="00C9397E"/>
    <w:rPr>
      <w:b/>
      <w:bCs/>
    </w:rPr>
  </w:style>
  <w:style w:type="paragraph" w:styleId="a9">
    <w:name w:val="Balloon Text"/>
    <w:basedOn w:val="a"/>
    <w:semiHidden/>
    <w:rsid w:val="00C9397E"/>
    <w:rPr>
      <w:rFonts w:ascii="Arial" w:hAnsi="Arial"/>
      <w:sz w:val="18"/>
      <w:szCs w:val="18"/>
    </w:rPr>
  </w:style>
  <w:style w:type="paragraph" w:styleId="aa">
    <w:name w:val="footnote text"/>
    <w:basedOn w:val="a"/>
    <w:semiHidden/>
    <w:rsid w:val="00C9397E"/>
    <w:pPr>
      <w:snapToGrid w:val="0"/>
    </w:pPr>
    <w:rPr>
      <w:sz w:val="20"/>
      <w:szCs w:val="20"/>
    </w:rPr>
  </w:style>
  <w:style w:type="character" w:styleId="ab">
    <w:name w:val="footnote reference"/>
    <w:basedOn w:val="a0"/>
    <w:semiHidden/>
    <w:rsid w:val="00C93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F15DB-6D44-4BB0-8F07-9BD25A45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220</Words>
  <Characters>1256</Characters>
  <Application>Microsoft Office Word</Application>
  <DocSecurity>0</DocSecurity>
  <Lines>10</Lines>
  <Paragraphs>2</Paragraphs>
  <ScaleCrop>false</ScaleCrop>
  <Company>中華民國無店面零售商業同業公會</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第三方支付機構防制洗錢注意事項</dc:title>
  <dc:creator>Nemos</dc:creator>
  <cp:lastModifiedBy>guangyan</cp:lastModifiedBy>
  <cp:revision>6</cp:revision>
  <cp:lastPrinted>2014-05-21T10:05:00Z</cp:lastPrinted>
  <dcterms:created xsi:type="dcterms:W3CDTF">2014-08-21T01:36:00Z</dcterms:created>
  <dcterms:modified xsi:type="dcterms:W3CDTF">2014-08-26T08:18:00Z</dcterms:modified>
</cp:coreProperties>
</file>